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 xml:space="preserve">Руководство пользователя по </w:t>
      </w:r>
      <w:r>
        <w:rPr>
          <w:rFonts w:eastAsia="DengXian" w:cs="Arial" w:ascii="Arial" w:hAnsi="Arial"/>
          <w:b/>
          <w:bCs/>
          <w:shd w:fill="auto" w:val="clear"/>
          <w:lang w:val="nl-NL"/>
        </w:rPr>
        <w:t>MH12 Pro</w:t>
      </w:r>
    </w:p>
    <w:p>
      <w:pPr>
        <w:pStyle w:val="Style15"/>
        <w:rPr>
          <w:rFonts w:ascii="Arial" w:hAnsi="Arial" w:eastAsia="DengXian" w:cs="Arial"/>
          <w:b/>
          <w:bCs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</w:r>
    </w:p>
    <w:p>
      <w:pPr>
        <w:pStyle w:val="Style15"/>
        <w:jc w:val="left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  <w:lang w:val="ru-RU"/>
        </w:rPr>
        <w:t>Об устройстве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Задействует светодиод </w:t>
      </w:r>
      <w:r>
        <w:rPr>
          <w:rFonts w:eastAsia="DengXian" w:cs="Arial" w:ascii="Arial" w:hAnsi="Arial"/>
          <w:shd w:fill="auto" w:val="clear"/>
        </w:rPr>
        <w:t>UHi</w:t>
      </w:r>
      <w:r>
        <w:rPr>
          <w:rFonts w:eastAsia="DengXian" w:cs="Arial" w:ascii="Arial" w:hAnsi="Arial"/>
          <w:shd w:fill="auto" w:val="clear"/>
          <w:lang w:val="ru-RU"/>
        </w:rPr>
        <w:t xml:space="preserve"> 40 с мощностью до 3,300 люмен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Пиковая интенсивность луча — 63,500 кд, а максимальная дальность — 505 метров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Оптическая система в сочетании с кристаллическим покрытием и технологией "сверхточной цифровой оптики" (</w:t>
      </w:r>
      <w:r>
        <w:rPr>
          <w:rFonts w:eastAsia="DengXian" w:cs="Arial" w:ascii="Arial" w:hAnsi="Arial"/>
          <w:shd w:fill="auto" w:val="clear"/>
        </w:rPr>
        <w:t>PDOT</w:t>
      </w:r>
      <w:r>
        <w:rPr>
          <w:rFonts w:eastAsia="DengXian" w:cs="Arial" w:ascii="Arial" w:hAnsi="Arial"/>
          <w:shd w:fill="auto" w:val="clear"/>
          <w:lang w:val="ru-RU"/>
        </w:rPr>
        <w:t>)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Работает от литий-ионного аккумулятора 21700 большой емкости, также совместим с аккумуляторами 18650 и </w:t>
      </w:r>
      <w:r>
        <w:rPr>
          <w:rFonts w:eastAsia="DengXian" w:cs="Arial" w:ascii="Arial" w:hAnsi="Arial"/>
          <w:shd w:fill="auto" w:val="clear"/>
        </w:rPr>
        <w:t>CR</w:t>
      </w:r>
      <w:r>
        <w:rPr>
          <w:rFonts w:eastAsia="DengXian" w:cs="Arial" w:ascii="Arial" w:hAnsi="Arial"/>
          <w:shd w:fill="auto" w:val="clear"/>
          <w:lang w:val="ru-RU"/>
        </w:rPr>
        <w:t>123, что обеспечивает время работы до 650 часов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Доступны тактический режим и обычный режим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Тактический задний переключатель и кнопка режима (</w:t>
      </w:r>
      <w:r>
        <w:rPr>
          <w:rFonts w:eastAsia="DengXian" w:cs="Arial" w:ascii="Arial" w:hAnsi="Arial"/>
          <w:shd w:fill="auto" w:val="clear"/>
        </w:rPr>
        <w:t>MODE</w:t>
      </w:r>
      <w:r>
        <w:rPr>
          <w:rFonts w:eastAsia="DengXian" w:cs="Arial" w:ascii="Arial" w:hAnsi="Arial"/>
          <w:shd w:fill="auto" w:val="clear"/>
          <w:lang w:val="ru-RU"/>
        </w:rPr>
        <w:t>) управляют 5 уровнями яркости и 3 специальными режимами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Режим стробоскопа использует случайно изменяющуюся частоту для более головокружительных эффектов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Индикаторы питания рядом с кнопкой режима сообщают оставшийся уровень заряда аккумулятора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Уровневые индикаторы рядом с кнопкой режима сообщают текущий уровень яркости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Умная схема зарядки литий-ионного аккумулятора с зарядным портом </w:t>
      </w:r>
      <w:r>
        <w:rPr>
          <w:rFonts w:eastAsia="DengXian" w:cs="Arial" w:ascii="Arial" w:hAnsi="Arial"/>
          <w:shd w:fill="auto" w:val="clear"/>
        </w:rPr>
        <w:t>USB</w:t>
      </w:r>
      <w:r>
        <w:rPr>
          <w:rFonts w:eastAsia="DengXian" w:cs="Arial" w:ascii="Arial" w:hAnsi="Arial"/>
          <w:shd w:fill="auto" w:val="clear"/>
          <w:lang w:val="ru-RU"/>
        </w:rPr>
        <w:t>-</w:t>
      </w:r>
      <w:r>
        <w:rPr>
          <w:rFonts w:eastAsia="DengXian" w:cs="Arial" w:ascii="Arial" w:hAnsi="Arial"/>
          <w:shd w:fill="auto" w:val="clear"/>
        </w:rPr>
        <w:t>C</w:t>
      </w:r>
      <w:r>
        <w:rPr>
          <w:rFonts w:eastAsia="DengXian" w:cs="Arial" w:ascii="Arial" w:hAnsi="Arial"/>
          <w:shd w:fill="auto" w:val="clear"/>
          <w:lang w:val="ru-RU"/>
        </w:rPr>
        <w:t xml:space="preserve">  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Литий-ионный аккумулятор </w:t>
      </w:r>
      <w:r>
        <w:rPr>
          <w:rFonts w:eastAsia="DengXian" w:cs="Arial" w:ascii="Arial" w:hAnsi="Arial"/>
          <w:shd w:fill="auto" w:val="clear"/>
        </w:rPr>
        <w:t>NITECORE</w:t>
      </w:r>
      <w:r>
        <w:rPr>
          <w:rFonts w:eastAsia="DengXian" w:cs="Arial" w:ascii="Arial" w:hAnsi="Arial"/>
          <w:shd w:fill="auto" w:val="clear"/>
          <w:lang w:val="ru-RU"/>
        </w:rPr>
        <w:t xml:space="preserve"> 21700 идет в комплекте (</w:t>
      </w:r>
      <w:r>
        <w:rPr>
          <w:rFonts w:eastAsia="DengXian" w:cs="Arial" w:ascii="Arial" w:hAnsi="Arial"/>
          <w:shd w:fill="auto" w:val="clear"/>
        </w:rPr>
        <w:t>NL</w:t>
      </w:r>
      <w:r>
        <w:rPr>
          <w:rFonts w:eastAsia="DengXian" w:cs="Arial" w:ascii="Arial" w:hAnsi="Arial"/>
          <w:shd w:fill="auto" w:val="clear"/>
          <w:lang w:val="ru-RU"/>
        </w:rPr>
        <w:t>2153</w:t>
      </w:r>
      <w:r>
        <w:rPr>
          <w:rFonts w:eastAsia="DengXian" w:cs="Arial" w:ascii="Arial" w:hAnsi="Arial"/>
          <w:shd w:fill="auto" w:val="clear"/>
        </w:rPr>
        <w:t>HP</w:t>
      </w:r>
      <w:r>
        <w:rPr>
          <w:rFonts w:eastAsia="DengXian" w:cs="Arial" w:ascii="Arial" w:hAnsi="Arial"/>
          <w:shd w:fill="auto" w:val="clear"/>
          <w:lang w:val="ru-RU"/>
        </w:rPr>
        <w:t xml:space="preserve"> 5,300 мАч)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Высокоэффективная схема постоянного тока обеспечивает стабильный выход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Встроенный модуль эффективного температурного контроля (</w:t>
      </w:r>
      <w:r>
        <w:rPr>
          <w:rFonts w:eastAsia="DengXian" w:cs="Arial" w:ascii="Arial" w:hAnsi="Arial"/>
          <w:shd w:fill="auto" w:val="clear"/>
        </w:rPr>
        <w:t>ATR</w:t>
      </w:r>
      <w:r>
        <w:rPr>
          <w:rFonts w:eastAsia="DengXian" w:cs="Arial" w:ascii="Arial" w:hAnsi="Arial"/>
          <w:shd w:fill="auto" w:val="clear"/>
          <w:lang w:val="ru-RU"/>
        </w:rPr>
        <w:t xml:space="preserve">) (патент № </w:t>
      </w:r>
      <w:r>
        <w:rPr>
          <w:rFonts w:eastAsia="DengXian" w:cs="Arial" w:ascii="Arial" w:hAnsi="Arial"/>
          <w:shd w:fill="auto" w:val="clear"/>
        </w:rPr>
        <w:t>ZL</w:t>
      </w:r>
      <w:r>
        <w:rPr>
          <w:rFonts w:eastAsia="DengXian" w:cs="Arial" w:ascii="Arial" w:hAnsi="Arial"/>
          <w:shd w:fill="auto" w:val="clear"/>
          <w:lang w:val="ru-RU"/>
        </w:rPr>
        <w:t>201510534543.6)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</w:rPr>
        <w:t>Электронная защита от обратной полярности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Оптические линзы с двусторонним покрытием, устойчивым к царапинам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Изготовлен из алюминиевого сплава с твердым анодированием военного класса </w:t>
      </w:r>
      <w:r>
        <w:rPr>
          <w:rFonts w:eastAsia="DengXian" w:cs="Arial" w:ascii="Arial" w:hAnsi="Arial"/>
          <w:shd w:fill="auto" w:val="clear"/>
        </w:rPr>
        <w:t>HA</w:t>
      </w:r>
      <w:r>
        <w:rPr>
          <w:rFonts w:eastAsia="DengXian" w:cs="Arial" w:ascii="Arial" w:hAnsi="Arial"/>
          <w:shd w:fill="auto" w:val="clear"/>
          <w:lang w:val="ru-RU"/>
        </w:rPr>
        <w:t xml:space="preserve"> </w:t>
      </w:r>
      <w:r>
        <w:rPr>
          <w:rFonts w:eastAsia="DengXian" w:cs="Arial" w:ascii="Arial" w:hAnsi="Arial"/>
          <w:shd w:fill="auto" w:val="clear"/>
        </w:rPr>
        <w:t>III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Водо- и пыленепроницаемость в соответствии с </w:t>
      </w:r>
      <w:r>
        <w:rPr>
          <w:rFonts w:eastAsia="DengXian" w:cs="Arial" w:ascii="Arial" w:hAnsi="Arial"/>
          <w:shd w:fill="auto" w:val="clear"/>
        </w:rPr>
        <w:t>IP</w:t>
      </w:r>
      <w:r>
        <w:rPr>
          <w:rFonts w:eastAsia="DengXian" w:cs="Arial" w:ascii="Arial" w:hAnsi="Arial"/>
          <w:shd w:fill="auto" w:val="clear"/>
          <w:lang w:val="ru-RU"/>
        </w:rPr>
        <w:t>68 (погружение на глубину до 2 метров)</w:t>
      </w:r>
    </w:p>
    <w:p>
      <w:pPr>
        <w:pStyle w:val="ListParagraph"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Ударопрочность при падении с высоты до 1 метра</w:t>
      </w:r>
    </w:p>
    <w:p>
      <w:pPr>
        <w:pStyle w:val="Style15"/>
        <w:jc w:val="left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Параметры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Длина: 138,5мм (5.45")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Диаметр головной части: 26.8мм (1,06")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Диаметр корпуса: 26.0мм (1,02")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Диаметр задней части: 27.0мм (1,06")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Вес: 81,5 г (2,87 унций) (без учета аккумулятора)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Комплектующие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Литий-ионный аккумулятор </w:t>
      </w:r>
      <w:r>
        <w:rPr>
          <w:rFonts w:eastAsia="DengXian" w:cs="Arial" w:ascii="Arial" w:hAnsi="Arial"/>
          <w:shd w:fill="auto" w:val="clear"/>
        </w:rPr>
        <w:t>NITECORE</w:t>
      </w:r>
      <w:r>
        <w:rPr>
          <w:rFonts w:eastAsia="DengXian" w:cs="Arial" w:ascii="Arial" w:hAnsi="Arial"/>
          <w:shd w:fill="auto" w:val="clear"/>
          <w:lang w:val="ru-RU"/>
        </w:rPr>
        <w:t xml:space="preserve"> 21700 (</w:t>
      </w:r>
      <w:r>
        <w:rPr>
          <w:rFonts w:eastAsia="DengXian" w:cs="Arial" w:ascii="Arial" w:hAnsi="Arial"/>
          <w:shd w:fill="auto" w:val="clear"/>
        </w:rPr>
        <w:t>NL</w:t>
      </w:r>
      <w:r>
        <w:rPr>
          <w:rFonts w:eastAsia="DengXian" w:cs="Arial" w:ascii="Arial" w:hAnsi="Arial"/>
          <w:shd w:fill="auto" w:val="clear"/>
          <w:lang w:val="ru-RU"/>
        </w:rPr>
        <w:t>2153</w:t>
      </w:r>
      <w:r>
        <w:rPr>
          <w:rFonts w:eastAsia="DengXian" w:cs="Arial" w:ascii="Arial" w:hAnsi="Arial"/>
          <w:shd w:fill="auto" w:val="clear"/>
        </w:rPr>
        <w:t>HP</w:t>
      </w:r>
      <w:r>
        <w:rPr>
          <w:rFonts w:eastAsia="DengXian" w:cs="Arial" w:ascii="Arial" w:hAnsi="Arial"/>
          <w:shd w:fill="auto" w:val="clear"/>
          <w:lang w:val="ru-RU"/>
        </w:rPr>
        <w:t xml:space="preserve"> 5,300 мАч), зарядный кабель </w:t>
      </w:r>
      <w:r>
        <w:rPr>
          <w:rFonts w:eastAsia="DengXian" w:cs="Arial" w:ascii="Arial" w:hAnsi="Arial"/>
          <w:shd w:fill="auto" w:val="clear"/>
        </w:rPr>
        <w:t>USB</w:t>
      </w:r>
      <w:r>
        <w:rPr>
          <w:rFonts w:eastAsia="DengXian" w:cs="Arial" w:ascii="Arial" w:hAnsi="Arial"/>
          <w:shd w:fill="auto" w:val="clear"/>
          <w:lang w:val="ru-RU"/>
        </w:rPr>
        <w:t>-</w:t>
      </w:r>
      <w:r>
        <w:rPr>
          <w:rFonts w:eastAsia="DengXian" w:cs="Arial" w:ascii="Arial" w:hAnsi="Arial"/>
          <w:shd w:fill="auto" w:val="clear"/>
        </w:rPr>
        <w:t>C</w:t>
      </w:r>
      <w:r>
        <w:rPr>
          <w:rFonts w:eastAsia="DengXian" w:cs="Arial" w:ascii="Arial" w:hAnsi="Arial"/>
          <w:shd w:fill="auto" w:val="clear"/>
          <w:lang w:val="ru-RU"/>
        </w:rPr>
        <w:t>, зажим, ремешок, запасное уплотнительное кольцо, чехол-кобура.</w:t>
      </w:r>
    </w:p>
    <w:p>
      <w:pPr>
        <w:pStyle w:val="Style15"/>
        <w:rPr>
          <w:rFonts w:ascii="Arial" w:hAnsi="Arial" w:cs="Arial"/>
          <w:highlight w:val="none"/>
          <w:shd w:fill="auto" w:val="clear"/>
          <w:lang w:val="ru-RU"/>
        </w:rPr>
      </w:pPr>
      <w:r>
        <w:rPr>
          <w:rFonts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Выбор аккумулятора</w:t>
      </w:r>
    </w:p>
    <w:tbl>
      <w:tblPr>
        <w:tblStyle w:val="TableNormal"/>
        <w:tblW w:w="1068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6151"/>
        <w:gridCol w:w="920"/>
        <w:gridCol w:w="1735"/>
        <w:gridCol w:w="1882"/>
      </w:tblGrid>
      <w:tr>
        <w:trPr>
          <w:trHeight w:val="496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 Unicode MS" w:cs="Arial"/>
                <w:kern w:val="0"/>
                <w:highlight w:val="none"/>
                <w:shd w:fill="auto" w:val="clear"/>
                <w:lang w:bidi="ar-SA"/>
              </w:rPr>
            </w:pPr>
            <w:r>
              <w:rPr>
                <w:rFonts w:eastAsia="Arial Unicode MS" w:cs="Arial" w:ascii="Arial" w:hAnsi="Arial"/>
                <w:kern w:val="0"/>
                <w:shd w:fill="auto" w:val="clear"/>
                <w:lang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Тип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Номинальное напряжение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Совместимость</w:t>
            </w:r>
          </w:p>
        </w:tc>
      </w:tr>
      <w:tr>
        <w:trPr>
          <w:trHeight w:val="496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Литий-ионный аккумулятор 21700 (ток разряда более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15А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21700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3,6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В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/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3,7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Y (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р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екомендуется)</w:t>
            </w:r>
          </w:p>
        </w:tc>
      </w:tr>
      <w:tr>
        <w:trPr>
          <w:trHeight w:val="254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Литий-ионный аккумулятор 18650 (ток разряда более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15А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18650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3,6 В /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3,7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Y (совместим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о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)</w:t>
            </w:r>
          </w:p>
        </w:tc>
      </w:tr>
      <w:tr>
        <w:trPr>
          <w:trHeight w:val="254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Л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итиевая батарея*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CR123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Y (совместим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о)</w:t>
            </w:r>
          </w:p>
        </w:tc>
      </w:tr>
      <w:tr>
        <w:trPr>
          <w:trHeight w:val="738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Л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итий-ионн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ый аккумулятор*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RCR123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3,6 В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/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3,7 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Y (совместим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о)</w:t>
            </w:r>
          </w:p>
        </w:tc>
      </w:tr>
      <w:tr>
        <w:trPr>
          <w:trHeight w:val="496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Литий-ионный аккумулятор 21700 (ток разряда ниже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15А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21700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3,6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В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/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3,7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N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(несовместимо)</w:t>
            </w:r>
          </w:p>
        </w:tc>
      </w:tr>
      <w:tr>
        <w:trPr>
          <w:trHeight w:val="496" w:hRule="atLeast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Литий-ионный аккумулятор 18650 (ток разряда ниже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15А)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18650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3,6 В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 /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3,7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N (несовмести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мо)</w:t>
            </w:r>
          </w:p>
        </w:tc>
      </w:tr>
    </w:tbl>
    <w:p>
      <w:pPr>
        <w:pStyle w:val="Style15"/>
        <w:rPr>
          <w:rFonts w:ascii="Arial" w:hAnsi="Arial" w:eastAsia="DengXian" w:cs="Arial"/>
          <w:b/>
          <w:bCs/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Примечание:</w:t>
      </w:r>
      <w:r>
        <w:rPr>
          <w:rFonts w:eastAsia="DengXian" w:cs="Arial" w:ascii="Arial" w:hAnsi="Arial"/>
          <w:shd w:fill="auto" w:val="clear"/>
          <w:lang w:val="ru-RU"/>
        </w:rPr>
        <w:t xml:space="preserve"> НЕ пытайтесь использовать </w:t>
      </w:r>
      <w:r>
        <w:rPr>
          <w:rFonts w:eastAsia="DengXian" w:cs="Arial" w:ascii="Arial" w:hAnsi="Arial"/>
          <w:shd w:fill="auto" w:val="clear"/>
          <w:lang w:val="nl-NL"/>
        </w:rPr>
        <w:t>MH12 Pro</w:t>
      </w:r>
      <w:r>
        <w:rPr>
          <w:rFonts w:eastAsia="DengXian" w:cs="Arial" w:ascii="Arial" w:hAnsi="Arial"/>
          <w:shd w:fill="auto" w:val="clear"/>
          <w:lang w:val="ru-RU"/>
        </w:rPr>
        <w:t xml:space="preserve"> для зарядки аккумуляторов </w:t>
      </w:r>
      <w:r>
        <w:rPr>
          <w:rFonts w:eastAsia="DengXian" w:cs="Arial" w:ascii="Arial" w:hAnsi="Arial"/>
          <w:shd w:fill="auto" w:val="clear"/>
        </w:rPr>
        <w:t>CR</w:t>
      </w:r>
      <w:r>
        <w:rPr>
          <w:rFonts w:eastAsia="DengXian" w:cs="Arial" w:ascii="Arial" w:hAnsi="Arial"/>
          <w:shd w:fill="auto" w:val="clear"/>
          <w:lang w:val="ru-RU"/>
        </w:rPr>
        <w:t>123/</w:t>
      </w:r>
      <w:r>
        <w:rPr>
          <w:rFonts w:eastAsia="DengXian" w:cs="Arial" w:ascii="Arial" w:hAnsi="Arial"/>
          <w:shd w:fill="auto" w:val="clear"/>
        </w:rPr>
        <w:t>RCR</w:t>
      </w:r>
      <w:r>
        <w:rPr>
          <w:rFonts w:eastAsia="DengXian" w:cs="Arial" w:ascii="Arial" w:hAnsi="Arial"/>
          <w:shd w:fill="auto" w:val="clear"/>
          <w:lang w:val="ru-RU"/>
        </w:rPr>
        <w:t>123.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</w:rPr>
        <w:t xml:space="preserve">Технические </w:t>
      </w:r>
      <w:r>
        <w:rPr>
          <w:rFonts w:eastAsia="DengXian" w:cs="Arial" w:ascii="Arial" w:hAnsi="Arial"/>
          <w:b/>
          <w:bCs/>
          <w:shd w:fill="auto" w:val="clear"/>
          <w:lang w:val="ru-RU"/>
        </w:rPr>
        <w:t>характеристики</w:t>
      </w:r>
    </w:p>
    <w:tbl>
      <w:tblPr>
        <w:tblStyle w:val="TableNormal"/>
        <w:tblW w:w="1322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728"/>
        <w:gridCol w:w="1635"/>
        <w:gridCol w:w="1767"/>
        <w:gridCol w:w="1759"/>
        <w:gridCol w:w="1487"/>
        <w:gridCol w:w="1206"/>
        <w:gridCol w:w="1215"/>
        <w:gridCol w:w="1214"/>
        <w:gridCol w:w="1214"/>
      </w:tblGrid>
      <w:tr>
        <w:trPr>
          <w:trHeight w:val="45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Стандарт 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 xml:space="preserve">FL1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ТУ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РБО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ВЫСОКИЙ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СРЕДНИЙ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НИЗКИЙ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СВЕРХНИЗКИЙ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СТРОБОСКОП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МАЯК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SOS</w:t>
            </w:r>
          </w:p>
        </w:tc>
      </w:tr>
      <w:tr>
        <w:trPr>
          <w:trHeight w:val="45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w:drawing>
                <wp:inline distT="0" distB="0" distL="0" distR="0">
                  <wp:extent cx="313690" cy="190500"/>
                  <wp:effectExtent l="0" t="0" r="0" b="0"/>
                  <wp:docPr id="1" name="officeArt object" descr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3,300 люмен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 xml:space="preserve">1,200 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л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юмен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300 люмен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50 люмен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1 люмен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3,300 люменов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3,300 люменов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3,300 люменов</w:t>
            </w:r>
          </w:p>
        </w:tc>
      </w:tr>
      <w:tr>
        <w:trPr>
          <w:trHeight w:val="342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w:drawing>
                <wp:inline distT="0" distB="0" distL="0" distR="0">
                  <wp:extent cx="190500" cy="184785"/>
                  <wp:effectExtent l="0" t="0" r="0" b="0"/>
                  <wp:docPr id="2" name="Изображение2" descr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*30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мин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4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ч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 xml:space="preserve"> 30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мин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8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 xml:space="preserve">ч 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30 мин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50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 xml:space="preserve">650 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</w:tr>
      <w:tr>
        <w:trPr>
          <w:trHeight w:val="348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w:drawing>
                <wp:inline distT="0" distB="0" distL="0" distR="0">
                  <wp:extent cx="237490" cy="188595"/>
                  <wp:effectExtent l="0" t="0" r="0" b="0"/>
                  <wp:docPr id="3" name="Изображение3" descr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505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323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17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0 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73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8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</w:tr>
      <w:tr>
        <w:trPr>
          <w:trHeight w:val="324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200025" cy="173355"/>
                      <wp:effectExtent l="0" t="0" r="0" b="0"/>
                      <wp:docPr id="4" name="officeArt object" descr="图片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fficeArt object" descr="图片 4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0160" cy="1735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officeArt object" stroked="f" o:allowincell="f" style="position:absolute;margin-left:0pt;margin-top:-13.7pt;width:15.7pt;height:13.6pt;mso-wrap-style:none;v-text-anchor:middle;rotation:180;mso-position-vertical:top" type="_x0000_t75">
                      <v:imagedata r:id="rId6" o:detectmouseclick="t"/>
                      <v:stroke color="#3465a4" weight="12600" joinstyle="miter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63,500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кд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26,100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кд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7,280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кд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1,340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кд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16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 xml:space="preserve"> кд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─</w:t>
            </w:r>
          </w:p>
        </w:tc>
      </w:tr>
      <w:tr>
        <w:trPr>
          <w:trHeight w:val="344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w:drawing>
                <wp:inline distT="0" distB="0" distL="0" distR="0">
                  <wp:extent cx="227965" cy="186055"/>
                  <wp:effectExtent l="0" t="0" r="0" b="0"/>
                  <wp:docPr id="6" name="Изображение4" descr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18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1м (ударопрочность)</w:t>
            </w:r>
          </w:p>
        </w:tc>
      </w:tr>
      <w:tr>
        <w:trPr>
          <w:trHeight w:val="346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rFonts w:eastAsia="Arial Unicode MS"/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Arial Unicode MS"/>
                <w:shd w:fill="auto" w:val="clear"/>
                <w:lang w:eastAsia="ru-RU" w:bidi="ar-SA"/>
              </w:rPr>
              <w:drawing>
                <wp:inline distT="0" distB="0" distL="0" distR="0">
                  <wp:extent cx="304800" cy="187325"/>
                  <wp:effectExtent l="0" t="0" r="0" b="0"/>
                  <wp:docPr id="7" name="Изображение5" descr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5" descr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15"/>
              <w:widowControl w:val="false"/>
              <w:spacing w:lineRule="atLeast" w:line="20"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eastAsia="ru-RU" w:bidi="ar-SA"/>
              </w:rPr>
              <w:t>IP</w:t>
            </w:r>
            <w:r>
              <w:rPr>
                <w:rFonts w:eastAsia="DengXian" w:cs="Arial" w:ascii="Arial" w:hAnsi="Arial"/>
                <w:sz w:val="18"/>
                <w:szCs w:val="18"/>
                <w:shd w:fill="auto" w:val="clear"/>
                <w:lang w:val="ru-RU" w:eastAsia="ru-RU" w:bidi="ar-SA"/>
              </w:rPr>
              <w:t>68, 2 м (водонепроницаемость и погружение)</w:t>
            </w:r>
          </w:p>
        </w:tc>
      </w:tr>
    </w:tbl>
    <w:p>
      <w:pPr>
        <w:pStyle w:val="Style15"/>
        <w:rPr>
          <w:rFonts w:ascii="Arial" w:hAnsi="Arial" w:eastAsia="DengXian" w:cs="Arial"/>
          <w:b/>
          <w:bCs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Примечание.</w:t>
      </w:r>
      <w:r>
        <w:rPr>
          <w:rFonts w:eastAsia="DengXian" w:cs="Arial" w:ascii="Arial" w:hAnsi="Arial"/>
          <w:shd w:fill="auto" w:val="clear"/>
          <w:lang w:val="ru-RU"/>
        </w:rPr>
        <w:t xml:space="preserve"> Приведенные данные получены в лабораторных условиях в соответствии с международными стандартами </w:t>
      </w:r>
      <w:r>
        <w:rPr>
          <w:rFonts w:eastAsia="DengXian" w:cs="Arial" w:ascii="Arial" w:hAnsi="Arial"/>
          <w:shd w:fill="auto" w:val="clear"/>
        </w:rPr>
        <w:t>ANSI</w:t>
      </w:r>
      <w:r>
        <w:rPr>
          <w:rFonts w:eastAsia="DengXian" w:cs="Arial" w:ascii="Arial" w:hAnsi="Arial"/>
          <w:shd w:fill="auto" w:val="clear"/>
          <w:lang w:val="ru-RU"/>
        </w:rPr>
        <w:t>/</w:t>
      </w:r>
      <w:r>
        <w:rPr>
          <w:rFonts w:eastAsia="DengXian" w:cs="Arial" w:ascii="Arial" w:hAnsi="Arial"/>
          <w:shd w:fill="auto" w:val="clear"/>
        </w:rPr>
        <w:t>PLATO</w:t>
      </w:r>
      <w:r>
        <w:rPr>
          <w:rFonts w:eastAsia="DengXian" w:cs="Arial" w:ascii="Arial" w:hAnsi="Arial"/>
          <w:shd w:fill="auto" w:val="clear"/>
          <w:lang w:val="ru-RU"/>
        </w:rPr>
        <w:t xml:space="preserve"> </w:t>
      </w:r>
      <w:r>
        <w:rPr>
          <w:rFonts w:eastAsia="DengXian" w:cs="Arial" w:ascii="Arial" w:hAnsi="Arial"/>
          <w:shd w:fill="auto" w:val="clear"/>
        </w:rPr>
        <w:t>FL</w:t>
      </w:r>
      <w:r>
        <w:rPr>
          <w:rFonts w:eastAsia="DengXian" w:cs="Arial" w:ascii="Arial" w:hAnsi="Arial"/>
          <w:shd w:fill="auto" w:val="clear"/>
          <w:lang w:val="ru-RU"/>
        </w:rPr>
        <w:t xml:space="preserve"> 1-2019 с использованием 1-го литий-ионного аккумулятора 21700 (5,300 мАч).  Данные могут отличаться в реальном мире вследствие использования другого элемента питания, а также условий окружающей среды.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* Время работы в режиме ТУРБО приведено без учета температурного контроля.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* Доступ к режиму ТУРБО: режим ТУРБО доступен только при использовании литий-ионного аккумулятора 21700/18650 с током разряда выше 15А. Режим недоступен при использовании аккумуляторов </w:t>
      </w:r>
      <w:r>
        <w:rPr>
          <w:rFonts w:eastAsia="DengXian" w:cs="Arial" w:ascii="Arial" w:hAnsi="Arial"/>
          <w:shd w:fill="auto" w:val="clear"/>
        </w:rPr>
        <w:t>CR</w:t>
      </w:r>
      <w:r>
        <w:rPr>
          <w:rFonts w:eastAsia="DengXian" w:cs="Arial" w:ascii="Arial" w:hAnsi="Arial"/>
          <w:shd w:fill="auto" w:val="clear"/>
          <w:lang w:val="ru-RU"/>
        </w:rPr>
        <w:t>123/</w:t>
      </w:r>
      <w:r>
        <w:rPr>
          <w:rFonts w:eastAsia="DengXian" w:cs="Arial" w:ascii="Arial" w:hAnsi="Arial"/>
          <w:shd w:fill="auto" w:val="clear"/>
        </w:rPr>
        <w:t>RCR</w:t>
      </w:r>
      <w:r>
        <w:rPr>
          <w:rFonts w:eastAsia="DengXian" w:cs="Arial" w:ascii="Arial" w:hAnsi="Arial"/>
          <w:shd w:fill="auto" w:val="clear"/>
          <w:lang w:val="ru-RU"/>
        </w:rPr>
        <w:t>123.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Функция зарядки</w:t>
      </w:r>
    </w:p>
    <w:p>
      <w:pPr>
        <w:pStyle w:val="Style15"/>
        <w:rPr>
          <w:highlight w:val="none"/>
          <w:shd w:fill="auto" w:val="clear"/>
        </w:rPr>
      </w:pPr>
      <w:r>
        <w:drawing>
          <wp:anchor behindDoc="0" distT="57150" distB="57150" distL="57150" distR="57150" simplePos="0" locked="0" layoutInCell="0" allowOverlap="1" relativeHeight="8">
            <wp:simplePos x="0" y="0"/>
            <wp:positionH relativeFrom="page">
              <wp:posOffset>1143000</wp:posOffset>
            </wp:positionH>
            <wp:positionV relativeFrom="line">
              <wp:posOffset>-154940</wp:posOffset>
            </wp:positionV>
            <wp:extent cx="2435225" cy="1924050"/>
            <wp:effectExtent l="0" t="0" r="0" b="0"/>
            <wp:wrapSquare wrapText="bothSides"/>
            <wp:docPr id="8" name="Изображение6" descr="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 descr="充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DengXian" w:cs="Arial" w:ascii="Arial" w:hAnsi="Arial"/>
          <w:shd w:fill="auto" w:val="clear"/>
          <w:lang w:val="nl-NL"/>
        </w:rPr>
        <w:t>MH12</w:t>
      </w:r>
      <w:r>
        <w:rPr>
          <w:rFonts w:eastAsia="DengXian" w:cs="Arial" w:ascii="Arial" w:hAnsi="Arial"/>
          <w:shd w:fill="auto" w:val="clear"/>
          <w:lang w:val="ru-RU"/>
        </w:rPr>
        <w:t xml:space="preserve"> про оснащен умной системой зарядки. После установки аккумулятора и затягивания задней крышки для начала зарядки используйте </w:t>
      </w:r>
      <w:r>
        <w:rPr>
          <w:rFonts w:eastAsia="DengXian" w:cs="Arial" w:ascii="Arial" w:hAnsi="Arial"/>
          <w:shd w:fill="auto" w:val="clear"/>
        </w:rPr>
        <w:t>USB</w:t>
      </w:r>
      <w:r>
        <w:rPr>
          <w:rFonts w:eastAsia="DengXian" w:cs="Arial" w:ascii="Arial" w:hAnsi="Arial"/>
          <w:shd w:fill="auto" w:val="clear"/>
          <w:lang w:val="ru-RU"/>
        </w:rPr>
        <w:t xml:space="preserve">-кабель для подключения внешнего источника питания (например, </w:t>
      </w:r>
      <w:r>
        <w:rPr>
          <w:rFonts w:eastAsia="DengXian" w:cs="Arial" w:ascii="Arial" w:hAnsi="Arial"/>
          <w:shd w:fill="auto" w:val="clear"/>
        </w:rPr>
        <w:t>USB</w:t>
      </w:r>
      <w:r>
        <w:rPr>
          <w:rFonts w:eastAsia="DengXian" w:cs="Arial" w:ascii="Arial" w:hAnsi="Arial"/>
          <w:shd w:fill="auto" w:val="clear"/>
          <w:lang w:val="ru-RU"/>
        </w:rPr>
        <w:t xml:space="preserve">-адаптера или любых других </w:t>
      </w:r>
      <w:r>
        <w:rPr>
          <w:rFonts w:eastAsia="DengXian" w:cs="Arial" w:ascii="Arial" w:hAnsi="Arial"/>
          <w:shd w:fill="auto" w:val="clear"/>
        </w:rPr>
        <w:t>USB</w:t>
      </w:r>
      <w:r>
        <w:rPr>
          <w:rFonts w:eastAsia="DengXian" w:cs="Arial" w:ascii="Arial" w:hAnsi="Arial"/>
          <w:shd w:fill="auto" w:val="clear"/>
          <w:lang w:val="ru-RU"/>
        </w:rPr>
        <w:t>-устройств для зарядки) к зарядному порту так, как это показано на иллюстрации.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· Во время зарядки четыре зеленых индикатора постепенно будут переходить от мигания к беспрерывному горению, сообщая таким образом уровень заряда аккумулятора.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· Когда аккумулятор будет полностью заряжен</w:t>
      </w:r>
      <w:r>
        <w:rPr>
          <w:rFonts w:eastAsia="DengXian" w:cs="Arial" w:ascii="Arial" w:hAnsi="Arial"/>
          <w:shd w:fill="auto" w:val="clear"/>
          <w:lang w:val="nl-NL"/>
        </w:rPr>
        <w:t xml:space="preserve">, MH12 Pro </w:t>
      </w:r>
      <w:r>
        <w:rPr>
          <w:rFonts w:eastAsia="DengXian" w:cs="Arial" w:ascii="Arial" w:hAnsi="Arial"/>
          <w:shd w:fill="auto" w:val="clear"/>
          <w:lang w:val="ru-RU"/>
        </w:rPr>
        <w:t>остановит зарядку, и индикаторы питания начнут беспрерывно гореть, информируя таким образом пользователя.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· Когда устройство активировано, подключение к источнику питания автоматически его выключит. Фонарь автоматически перейдет в режим НИЗКОГО уровня яркости при отключении от источника питания.</w:t>
      </w:r>
    </w:p>
    <w:p>
      <w:pPr>
        <w:pStyle w:val="Style15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 </w:t>
      </w:r>
      <w:r>
        <w:rPr>
          <w:rFonts w:eastAsia="DengXian" w:cs="Arial" w:ascii="Arial" w:hAnsi="Arial"/>
          <w:shd w:fill="auto" w:val="clear"/>
          <w:lang w:val="ru-RU"/>
        </w:rPr>
        <w:t>Время зарядки литий-ионного аккумулятора 21700 (5,300 мАч) составляет приблизительно 3 часа 30 минут (при зарядке посредством адаптера 5В/2А)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  <w:drawing>
          <wp:anchor behindDoc="0" distT="152400" distB="152400" distL="152400" distR="152400" simplePos="0" locked="0" layoutInCell="0" allowOverlap="1" relativeHeight="9">
            <wp:simplePos x="0" y="0"/>
            <wp:positionH relativeFrom="margin">
              <wp:posOffset>6985</wp:posOffset>
            </wp:positionH>
            <wp:positionV relativeFrom="line">
              <wp:posOffset>268605</wp:posOffset>
            </wp:positionV>
            <wp:extent cx="2421255" cy="2089785"/>
            <wp:effectExtent l="0" t="0" r="0" b="0"/>
            <wp:wrapThrough wrapText="bothSides">
              <wp:wrapPolygon edited="0">
                <wp:start x="-10" y="0"/>
                <wp:lineTo x="21600" y="0"/>
                <wp:lineTo x="21600" y="21590"/>
                <wp:lineTo x="-10" y="21590"/>
                <wp:lineTo x="-10" y="0"/>
              </wp:wrapPolygon>
            </wp:wrapThrough>
            <wp:docPr id="9" name="Изображение7" descr="IMG_15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7" descr="IMG_155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Инструкция по эксплуатации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Установка / извлечение аккумулятора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Открутите крышку аккумуляторного отсека, вставьте / извлеките аккумулятор(-ы) так, как это показано на иллюстрации, и затем закрутите крышку обратно, чтобы затянуть заднюю крышку.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Меры предосторожности: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1. Убедитесь, что аккумуляторы вставлены положительным полюсом к головной части фонаря. Устройство не будет работать, если аккумуляторы вставлены неправильно.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2. Пожалуйста, во избежание дребезжания элементов питания и для обеспечения их стабильного контакта используйте аккумуляторный магазин при эксплуатации следующих аккумуляторов: 1 </w:t>
      </w:r>
      <w:r>
        <w:rPr>
          <w:rFonts w:eastAsia="DengXian" w:cs="Arial" w:ascii="Arial" w:hAnsi="Arial"/>
          <w:shd w:fill="auto" w:val="clear"/>
        </w:rPr>
        <w:t>x</w:t>
      </w:r>
      <w:r>
        <w:rPr>
          <w:rFonts w:eastAsia="DengXian" w:cs="Arial" w:ascii="Arial" w:hAnsi="Arial"/>
          <w:shd w:fill="auto" w:val="clear"/>
          <w:lang w:val="ru-RU"/>
        </w:rPr>
        <w:t xml:space="preserve"> 18650 / 2 </w:t>
      </w:r>
      <w:r>
        <w:rPr>
          <w:rFonts w:eastAsia="DengXian" w:cs="Arial" w:ascii="Arial" w:hAnsi="Arial"/>
          <w:shd w:fill="auto" w:val="clear"/>
        </w:rPr>
        <w:t>x</w:t>
      </w:r>
      <w:r>
        <w:rPr>
          <w:rFonts w:eastAsia="DengXian" w:cs="Arial" w:ascii="Arial" w:hAnsi="Arial"/>
          <w:shd w:fill="auto" w:val="clear"/>
          <w:lang w:val="ru-RU"/>
        </w:rPr>
        <w:t xml:space="preserve"> </w:t>
      </w:r>
      <w:r>
        <w:rPr>
          <w:rFonts w:eastAsia="DengXian" w:cs="Arial" w:ascii="Arial" w:hAnsi="Arial"/>
          <w:shd w:fill="auto" w:val="clear"/>
        </w:rPr>
        <w:t>CR</w:t>
      </w:r>
      <w:r>
        <w:rPr>
          <w:rFonts w:eastAsia="DengXian" w:cs="Arial" w:ascii="Arial" w:hAnsi="Arial"/>
          <w:shd w:fill="auto" w:val="clear"/>
          <w:lang w:val="ru-RU"/>
        </w:rPr>
        <w:t>123.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3. Если вы обнаружили низкий уровень заряда, незамедлительно прекратите использование устройства и перезарядите либо замените элементы питания во избежание возникновения каких-либо повреждений.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4. Если вы планируете хранить или переносить устройство в рюкзаке, а также если планируете не пользоваться им в течение длительного времени, не забудьте предварительно извлечь все элементы питания во избежание случайной активации и протечки  элементов питания.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Тактическая быстрая подсветка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Наполовину зажмите и удерживайте задний переключатель, чтобы мгновенно активировать фонарь. Отпустите кнопку, чтобы его выключить.</w:t>
      </w:r>
    </w:p>
    <w:p>
      <w:pPr>
        <w:pStyle w:val="Style15"/>
        <w:rPr>
          <w:rFonts w:ascii="Arial" w:hAnsi="Arial" w:eastAsia="DengXian" w:cs="Arial"/>
          <w:b/>
          <w:bCs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Включение / Выключение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Включение. Когда устройство выключено, зажмите задний переключатель и удерживайте его до тех пор, пока не раздастся щелчок, означающий его активацию.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Выключение. Когда устройство включено, зажмите задний переключатель и удерживайте его до тех пор, пока не раздастся щелчок, означающий его выключение.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Выбор режима пользователя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</w:rPr>
        <w:t>MH</w:t>
      </w:r>
      <w:r>
        <w:rPr>
          <w:rFonts w:eastAsia="DengXian" w:cs="Arial" w:ascii="Arial" w:hAnsi="Arial"/>
          <w:shd w:fill="auto" w:val="clear"/>
          <w:lang w:val="ru-RU"/>
        </w:rPr>
        <w:t xml:space="preserve">12 </w:t>
      </w:r>
      <w:r>
        <w:rPr>
          <w:rFonts w:eastAsia="DengXian" w:cs="Arial" w:ascii="Arial" w:hAnsi="Arial"/>
          <w:shd w:fill="auto" w:val="clear"/>
        </w:rPr>
        <w:t>Pro</w:t>
      </w:r>
      <w:r>
        <w:rPr>
          <w:rFonts w:eastAsia="DengXian" w:cs="Arial" w:ascii="Arial" w:hAnsi="Arial"/>
          <w:shd w:fill="auto" w:val="clear"/>
          <w:lang w:val="ru-RU"/>
        </w:rPr>
        <w:t xml:space="preserve"> имеет 2 режима пользователя, предназначенных для разных пользователей и ситуаций.</w:t>
      </w:r>
    </w:p>
    <w:p>
      <w:pPr>
        <w:pStyle w:val="Style15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Обычный режим (установлен по умолчанию): в данном режиме доступны 5 уровней яркости и 3 специальных режима (СТРОБОСКОП, МАЯК и </w:t>
      </w:r>
      <w:r>
        <w:rPr>
          <w:rFonts w:eastAsia="DengXian" w:cs="Arial" w:ascii="Arial" w:hAnsi="Arial"/>
          <w:shd w:fill="auto" w:val="clear"/>
        </w:rPr>
        <w:t>SOS</w:t>
      </w:r>
      <w:r>
        <w:rPr>
          <w:rFonts w:eastAsia="DengXian" w:cs="Arial" w:ascii="Arial" w:hAnsi="Arial"/>
          <w:shd w:fill="auto" w:val="clear"/>
          <w:lang w:val="ru-RU"/>
        </w:rPr>
        <w:t xml:space="preserve">). </w:t>
      </w:r>
      <w:r>
        <w:rPr>
          <w:rFonts w:eastAsia="DengXian" w:cs="Arial" w:ascii="Arial" w:hAnsi="Arial"/>
          <w:shd w:fill="auto" w:val="clear"/>
        </w:rPr>
        <w:t>MH</w:t>
      </w:r>
      <w:r>
        <w:rPr>
          <w:rFonts w:eastAsia="DengXian" w:cs="Arial" w:ascii="Arial" w:hAnsi="Arial"/>
          <w:shd w:fill="auto" w:val="clear"/>
          <w:lang w:val="ru-RU"/>
        </w:rPr>
        <w:t xml:space="preserve">12 </w:t>
      </w:r>
      <w:r>
        <w:rPr>
          <w:rFonts w:eastAsia="DengXian" w:cs="Arial" w:ascii="Arial" w:hAnsi="Arial"/>
          <w:shd w:fill="auto" w:val="clear"/>
        </w:rPr>
        <w:t>Pro</w:t>
      </w:r>
      <w:r>
        <w:rPr>
          <w:rFonts w:eastAsia="DengXian" w:cs="Arial" w:ascii="Arial" w:hAnsi="Arial"/>
          <w:shd w:fill="auto" w:val="clear"/>
          <w:lang w:val="ru-RU"/>
        </w:rPr>
        <w:t xml:space="preserve"> запоминает последний установленный режим и при повторной активации снова  перейдет к одному из 4 уровней яркости или режиму СТРОБОСКОП (исключены СВЕРХНИЗКИЙ уровень яркости, а также режимы МАЯК и </w:t>
      </w:r>
      <w:r>
        <w:rPr>
          <w:rFonts w:eastAsia="DengXian" w:cs="Arial" w:ascii="Arial" w:hAnsi="Arial"/>
          <w:shd w:fill="auto" w:val="clear"/>
        </w:rPr>
        <w:t>SOS</w:t>
      </w:r>
      <w:r>
        <w:rPr>
          <w:rFonts w:eastAsia="DengXian" w:cs="Arial" w:ascii="Arial" w:hAnsi="Arial"/>
          <w:shd w:fill="auto" w:val="clear"/>
          <w:lang w:val="ru-RU"/>
        </w:rPr>
        <w:t>). Однако это возможно только в случае, если устройство не было переведено в другой режим пользователя.</w:t>
      </w:r>
    </w:p>
    <w:p>
      <w:pPr>
        <w:pStyle w:val="Style15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Тактический режим: в этом режиме доступны только 5 уровней яркости и СТРОБОСКОП. В этом режиме </w:t>
      </w:r>
      <w:r>
        <w:rPr>
          <w:rFonts w:eastAsia="DengXian" w:cs="Arial" w:ascii="Arial" w:hAnsi="Arial"/>
          <w:shd w:fill="auto" w:val="clear"/>
        </w:rPr>
        <w:t>MH</w:t>
      </w:r>
      <w:r>
        <w:rPr>
          <w:rFonts w:eastAsia="DengXian" w:cs="Arial" w:ascii="Arial" w:hAnsi="Arial"/>
          <w:shd w:fill="auto" w:val="clear"/>
          <w:lang w:val="ru-RU"/>
        </w:rPr>
        <w:t xml:space="preserve">12 </w:t>
      </w:r>
      <w:r>
        <w:rPr>
          <w:rFonts w:eastAsia="DengXian" w:cs="Arial" w:ascii="Arial" w:hAnsi="Arial"/>
          <w:shd w:fill="auto" w:val="clear"/>
        </w:rPr>
        <w:t>Pro</w:t>
      </w:r>
      <w:r>
        <w:rPr>
          <w:rFonts w:eastAsia="DengXian" w:cs="Arial" w:ascii="Arial" w:hAnsi="Arial"/>
          <w:shd w:fill="auto" w:val="clear"/>
          <w:lang w:val="ru-RU"/>
        </w:rPr>
        <w:t xml:space="preserve"> запоминает и при повторной активации предоставляет доступ к уровню яркости ТУРБО или режиму СТРОБОСКОП. Однако это возможно только в случае, если устройство не было переведено в другой режим пользователя.</w:t>
      </w:r>
    </w:p>
    <w:p>
      <w:pPr>
        <w:pStyle w:val="Style15"/>
        <w:rPr>
          <w:rFonts w:ascii="Arial" w:hAnsi="Arial" w:cs="Arial"/>
          <w:highlight w:val="none"/>
          <w:shd w:fill="auto" w:val="clear"/>
          <w:lang w:val="ru-RU"/>
        </w:rPr>
      </w:pPr>
      <w:r>
        <w:rPr>
          <w:rFonts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Активация на СВЕРХНИЗКОМ уровне яркости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Когда устройство выключено, зажмите и удерживайте кнопку режима, затем нажмите на задний переключатель, чтобы активировать устройство на СВЕРХНИЗКОМ уровне яркости.</w:t>
      </w:r>
    </w:p>
    <w:p>
      <w:pPr>
        <w:pStyle w:val="Style15"/>
        <w:rPr>
          <w:rFonts w:ascii="Arial" w:hAnsi="Arial" w:cs="Arial"/>
          <w:highlight w:val="none"/>
          <w:shd w:fill="auto" w:val="clear"/>
          <w:lang w:val="ru-RU"/>
        </w:rPr>
      </w:pPr>
      <w:r>
        <w:rPr>
          <w:rFonts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Чтобы выбрать режим пользователя, нужно: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Когда устройство выключено, зажать и удерживать кнопку режима, затем нажать на задний переключатель для перевода устройство в режим СВЕРХНИЗКОГО уровня яркости.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Продолжать удерживать кнопку режима приблизительно в течение 5 секунд. Фонарь сообщит текущий выбранный режим, мигая один раз для обычного режима и мигая дважды для тактического режима.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</w:rPr>
        <w:t>Уровни яркости</w:t>
      </w:r>
    </w:p>
    <w:p>
      <w:pPr>
        <w:pStyle w:val="ListParagraph"/>
        <w:numPr>
          <w:ilvl w:val="0"/>
          <w:numId w:val="3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Обычный режим: когда устройство включено, кратковременно нажимайте на кнопку режима, чтобы переключаться между следующими уровнями яркости: НИЗКИЙ - СРЕДНИЙ - ВЫСОКИЙ - ТУРБО.</w:t>
      </w:r>
    </w:p>
    <w:p>
      <w:pPr>
        <w:pStyle w:val="ListParagraph"/>
        <w:numPr>
          <w:ilvl w:val="0"/>
          <w:numId w:val="3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Тактический режим: когда устройство включено, кратковременно нажимайте на кнопку режима, чтобы переключаться между следующими уровнями яркости: ТУРБО - ВЫСОКИЙ - СРЕДНИЙ - НИЗКИЙ.</w:t>
      </w:r>
    </w:p>
    <w:p>
      <w:pPr>
        <w:pStyle w:val="ListParagraph"/>
        <w:ind w:hanging="0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ListParagraph"/>
        <w:ind w:hanging="0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 xml:space="preserve">Специальные режимы (СТРОБОСКОП / МАЯК / </w:t>
      </w:r>
      <w:r>
        <w:rPr>
          <w:rFonts w:eastAsia="DengXian" w:cs="Arial" w:ascii="Arial" w:hAnsi="Arial"/>
          <w:b/>
          <w:bCs/>
          <w:shd w:fill="auto" w:val="clear"/>
        </w:rPr>
        <w:t>SOS</w:t>
      </w:r>
      <w:r>
        <w:rPr>
          <w:rFonts w:eastAsia="DengXian" w:cs="Arial" w:ascii="Arial" w:hAnsi="Arial"/>
          <w:b/>
          <w:bCs/>
          <w:shd w:fill="auto" w:val="clear"/>
          <w:lang w:val="ru-RU"/>
        </w:rPr>
        <w:t>)</w:t>
      </w:r>
    </w:p>
    <w:p>
      <w:pPr>
        <w:pStyle w:val="ListParagraph"/>
        <w:numPr>
          <w:ilvl w:val="0"/>
          <w:numId w:val="4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Обычный режим: когда устройство включено, зажмите и удерживайте кнопку режима, чтобы переключаться между следующими специальными режимами: СТРОБОСКОП – МАЯК – </w:t>
      </w:r>
      <w:r>
        <w:rPr>
          <w:rFonts w:eastAsia="DengXian" w:cs="Arial" w:ascii="Arial" w:hAnsi="Arial"/>
          <w:shd w:fill="auto" w:val="clear"/>
        </w:rPr>
        <w:t>SOS</w:t>
      </w:r>
      <w:r>
        <w:rPr>
          <w:rFonts w:eastAsia="DengXian" w:cs="Arial" w:ascii="Arial" w:hAnsi="Arial"/>
          <w:shd w:fill="auto" w:val="clear"/>
          <w:lang w:val="ru-RU"/>
        </w:rPr>
        <w:t xml:space="preserve">. </w:t>
      </w:r>
      <w:r>
        <w:rPr>
          <w:rFonts w:eastAsia="DengXian" w:cs="Arial" w:ascii="Arial" w:hAnsi="Arial"/>
          <w:shd w:fill="auto" w:val="clear"/>
        </w:rPr>
        <w:t>Отпустите</w:t>
      </w:r>
      <w:r>
        <w:rPr>
          <w:rFonts w:eastAsia="DengXian" w:cs="Arial" w:ascii="Arial" w:hAnsi="Arial"/>
          <w:shd w:fill="auto" w:val="clear"/>
          <w:lang w:val="ru-RU"/>
        </w:rPr>
        <w:t xml:space="preserve"> кнопку</w:t>
      </w:r>
      <w:r>
        <w:rPr>
          <w:rFonts w:eastAsia="DengXian" w:cs="Arial" w:ascii="Arial" w:hAnsi="Arial"/>
          <w:shd w:fill="auto" w:val="clear"/>
        </w:rPr>
        <w:t>, чтобы выбрать нужный специальный режим.</w:t>
      </w:r>
    </w:p>
    <w:p>
      <w:pPr>
        <w:pStyle w:val="ListParagraph"/>
        <w:numPr>
          <w:ilvl w:val="0"/>
          <w:numId w:val="4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Тактический режим: когда устройство включено, зажмите и удерживайте кнопку режима, чтобы перевести его в режим СТРОБОСКОП.</w:t>
      </w:r>
    </w:p>
    <w:p>
      <w:pPr>
        <w:pStyle w:val="ListParagraph"/>
        <w:numPr>
          <w:ilvl w:val="0"/>
          <w:numId w:val="4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Когда активирован один из специальных режимов, кратковременное / длительное нажатие кнопки режима позволит выйти из специального режима и вернуться к предыдущему уровню яркости; или нажмите на задний переключатель, чтобы выключить устройство.</w:t>
      </w:r>
    </w:p>
    <w:p>
      <w:pPr>
        <w:pStyle w:val="ListParagraph"/>
        <w:ind w:hanging="0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 xml:space="preserve">Сообщение уровня заряда 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Во время работы устройства зеленые индикаторы питания будут постоянно работать, сообщая оставшийся уровень заряда аккумулятора.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 xml:space="preserve">Примечание. </w:t>
      </w:r>
      <w:r>
        <w:rPr>
          <w:rFonts w:eastAsia="DengXian" w:cs="Arial" w:ascii="Arial" w:hAnsi="Arial"/>
          <w:shd w:fill="auto" w:val="clear"/>
          <w:lang w:val="ru-RU"/>
        </w:rPr>
        <w:t>Аккумулятор следует заменить или подзарядить, если свет кажется тусклым или фонарик перестает отвечать на команды вследствие низкого уровня заряда.</w:t>
      </w:r>
    </w:p>
    <w:tbl>
      <w:tblPr>
        <w:tblStyle w:val="TableNormal"/>
        <w:tblW w:w="712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939"/>
        <w:gridCol w:w="5187"/>
      </w:tblGrid>
      <w:tr>
        <w:trPr>
          <w:trHeight w:val="490" w:hRule="atLeast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Состояние индикаторов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Уровень заряда аккумулятора</w:t>
            </w:r>
          </w:p>
        </w:tc>
      </w:tr>
      <w:tr>
        <w:trPr>
          <w:trHeight w:val="490" w:hRule="atLeast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4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беспрерывно горят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75%–100%</w:t>
            </w:r>
          </w:p>
        </w:tc>
      </w:tr>
      <w:tr>
        <w:trPr>
          <w:trHeight w:val="490" w:hRule="atLeast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3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беспрерывно горят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50%–75%</w:t>
            </w:r>
          </w:p>
        </w:tc>
      </w:tr>
      <w:tr>
        <w:trPr>
          <w:trHeight w:val="490" w:hRule="atLeast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2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беспрерывно горят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>25%–50%</w:t>
            </w:r>
          </w:p>
        </w:tc>
      </w:tr>
      <w:tr>
        <w:trPr>
          <w:trHeight w:val="490" w:hRule="atLeast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eastAsia="ru-RU" w:bidi="ar-SA"/>
              </w:rPr>
              <w:t xml:space="preserve">1 </w:t>
            </w: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беспрерывно горит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center"/>
              <w:rPr>
                <w:highlight w:val="none"/>
                <w:shd w:fill="auto" w:val="clear"/>
                <w:lang w:eastAsia="ru-RU" w:bidi="ar-SA"/>
              </w:rPr>
            </w:pPr>
            <w:r>
              <w:rPr>
                <w:rFonts w:eastAsia="DengXian" w:cs="Arial" w:ascii="Arial" w:hAnsi="Arial"/>
                <w:shd w:fill="auto" w:val="clear"/>
                <w:lang w:val="ru-RU" w:eastAsia="ru-RU" w:bidi="ar-SA"/>
              </w:rPr>
              <w:t>0%–25% (пожалуйста, при первой возможности подключите устройство к источнику питания)</w:t>
            </w:r>
          </w:p>
        </w:tc>
      </w:tr>
    </w:tbl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Функция защиты датчика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Когда встроенный оптический датчик обнаруживает впереди препятствие, яркость фонаря автоматически снижается во избежание перегрева и для продления срока службы устройства. Чувствительность датчика может отличаться вследствие различий в цвете и материале препятствий.</w:t>
      </w:r>
    </w:p>
    <w:p>
      <w:pPr>
        <w:pStyle w:val="Style15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Если фонарь находится в режиме ВЫСОКОГО уровня яркости или ТУРБО и встроенный оптический датчик обнаруживает впереди препятствие, яркость автоматически снижается до 300 люмен. Как только препятствие устраняется, фонарь возвращается к предыдущему уровню яркости.</w:t>
      </w:r>
    </w:p>
    <w:p>
      <w:pPr>
        <w:pStyle w:val="Style15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Если фонарь находится в режиме СТРОБОСКОП и встроенный оптический датчик обнаруживает впереди препятствие, яркость автоматически снижается до 1200 люмен. Чтобы вернуть нужный уровень яркости, просто повторно активируйте СТРОБОСКОП.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</w:rPr>
        <w:t xml:space="preserve">Примечание: </w:t>
      </w:r>
    </w:p>
    <w:p>
      <w:pPr>
        <w:pStyle w:val="ListParagraph"/>
        <w:numPr>
          <w:ilvl w:val="0"/>
          <w:numId w:val="5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Эта функция доступна только  тогда, когда фонарь находится в режиме ВЫСОКОГО уровня яркости, а также в режимах ТУРБО и СТРОБОСКОП.</w:t>
      </w:r>
    </w:p>
    <w:p>
      <w:pPr>
        <w:pStyle w:val="ListParagraph"/>
        <w:numPr>
          <w:ilvl w:val="0"/>
          <w:numId w:val="5"/>
        </w:numPr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Важно содержать в чистоте переднюю линзу, чтобы быть уверенным в том, что датчик функционирует в соответствии со своей оптимальной производительностью.</w:t>
      </w:r>
    </w:p>
    <w:p>
      <w:pPr>
        <w:pStyle w:val="Style15"/>
        <w:rPr>
          <w:rFonts w:ascii="Arial" w:hAnsi="Arial" w:eastAsia="DengXian" w:cs="Arial"/>
          <w:b/>
          <w:bCs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de-DE"/>
        </w:rPr>
        <w:t>ATR (</w:t>
      </w:r>
      <w:r>
        <w:rPr>
          <w:rFonts w:eastAsia="DengXian" w:cs="Arial" w:ascii="Arial" w:hAnsi="Arial"/>
          <w:b/>
          <w:bCs/>
          <w:shd w:fill="auto" w:val="clear"/>
          <w:lang w:val="ru-RU"/>
        </w:rPr>
        <w:t>эффективный температурный контроль)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 xml:space="preserve">Встроенная технология </w:t>
      </w:r>
      <w:r>
        <w:rPr>
          <w:rFonts w:eastAsia="DengXian" w:cs="Arial" w:ascii="Arial" w:hAnsi="Arial"/>
          <w:shd w:fill="auto" w:val="clear"/>
          <w:lang w:val="de-DE"/>
        </w:rPr>
        <w:t xml:space="preserve">ATR </w:t>
      </w:r>
      <w:r>
        <w:rPr>
          <w:rFonts w:eastAsia="DengXian" w:cs="Arial" w:ascii="Arial" w:hAnsi="Arial"/>
          <w:shd w:fill="auto" w:val="clear"/>
          <w:lang w:val="ru-RU"/>
        </w:rPr>
        <w:t xml:space="preserve">регулирует мощность </w:t>
      </w:r>
      <w:r>
        <w:rPr>
          <w:rFonts w:eastAsia="DengXian" w:cs="Arial" w:ascii="Arial" w:hAnsi="Arial"/>
          <w:shd w:fill="auto" w:val="clear"/>
          <w:lang w:val="nl-NL"/>
        </w:rPr>
        <w:t>MH12 Pro</w:t>
      </w:r>
      <w:r>
        <w:rPr>
          <w:rFonts w:eastAsia="DengXian" w:cs="Arial" w:ascii="Arial" w:hAnsi="Arial"/>
          <w:shd w:fill="auto" w:val="clear"/>
          <w:lang w:val="ru-RU"/>
        </w:rPr>
        <w:t xml:space="preserve"> в соответствии с рабочими условиями, а также условиями окружающей среды для поддержания оптимальной производительности устройства.  </w:t>
      </w:r>
    </w:p>
    <w:p>
      <w:pPr>
        <w:pStyle w:val="Style15"/>
        <w:rPr>
          <w:rFonts w:ascii="Arial" w:hAnsi="Arial" w:eastAsia="DengXian" w:cs="Arial"/>
          <w:highlight w:val="none"/>
          <w:shd w:fill="auto" w:val="clear"/>
          <w:lang w:val="ru-RU"/>
        </w:rPr>
      </w:pPr>
      <w:r>
        <w:rPr>
          <w:rFonts w:eastAsia="DengXian"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Меры предосторожности: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1. При использовании устройства в режиме ТУРБО (3,300 люмен) головная часть фонаря будет выделять огромное количество тепла. Пользователям не рекомендуется использовать устройство в режиме ТУРБО в течение длительного времени во избежание ожогов.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2. ВНИМАНИЕ! Возможно опасное излучение! Не направляйте свет в глаза! Поскольку это может быть для них опасно.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3. НИЧЕМ НЕ накрывайте головную часть устройства и НЕ размещайте рядом с ней какие-либо предметы во избежание несчастных случаев.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4. При длительной работе устройство сильно нагревается. Пожалуйста, соблюдайте осторожность при его эксплуатации, чтобы не получить ожогов.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5. Утилизируйте устройство / элементы питания в соответствии с действующими местным законодательством и принятыми правилами.</w:t>
      </w:r>
    </w:p>
    <w:p>
      <w:pPr>
        <w:pStyle w:val="Style15"/>
        <w:rPr>
          <w:rFonts w:ascii="Arial" w:hAnsi="Arial" w:cs="Arial"/>
          <w:highlight w:val="none"/>
          <w:shd w:fill="auto" w:val="clear"/>
          <w:lang w:val="ru-RU"/>
        </w:rPr>
      </w:pPr>
      <w:r>
        <w:rPr>
          <w:rFonts w:cs="Arial" w:ascii="Arial" w:hAnsi="Arial"/>
          <w:shd w:fill="auto" w:val="clear"/>
          <w:lang w:val="ru-RU"/>
        </w:rPr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b/>
          <w:bCs/>
          <w:shd w:fill="auto" w:val="clear"/>
          <w:lang w:val="ru-RU"/>
        </w:rPr>
        <w:t>Техническое обслуживание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Каждые 6 месяцев резьбу следует протирать чистой тканью с последующим нанесением тонкого слоя смазки на силиконовой основе.</w:t>
      </w:r>
    </w:p>
    <w:p>
      <w:pPr>
        <w:pStyle w:val="Style20"/>
        <w:tabs>
          <w:tab w:val="clear" w:pos="420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960" w:leader="none"/>
        </w:tabs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u w:val="none" w:color="00000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Гарантийное обслуживание</w:t>
      </w:r>
    </w:p>
    <w:p>
      <w:pPr>
        <w:pStyle w:val="Style15"/>
        <w:widowControl/>
        <w:jc w:val="left"/>
        <w:rPr>
          <w:highlight w:val="none"/>
          <w:shd w:fill="auto" w:val="clear"/>
        </w:rPr>
      </w:pP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Вся продукция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® обладает гарантией. При наличии у продукта каких-либо дефектов или брака его можно обменять у местного дистрибьютора в течение 15 дней с даты покупки. После этого неисправную продукцию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® можно бесплатно починить в течение 60 месяцев со дня покупки. По прошествии 60 месяцев начинает действовать ограниченная гарантия, которая покрывает стоимость работы и обслуживания, но не распространяется на оплату комплектующих и запасных частей.</w:t>
      </w:r>
    </w:p>
    <w:p>
      <w:pPr>
        <w:pStyle w:val="Style15"/>
        <w:widowControl/>
        <w:jc w:val="left"/>
        <w:rPr>
          <w:highlight w:val="none"/>
          <w:shd w:fill="auto" w:val="clear"/>
        </w:rPr>
      </w:pP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Гарантия аннулируется, в случае если:</w:t>
      </w:r>
    </w:p>
    <w:p>
      <w:pPr>
        <w:pStyle w:val="Style15"/>
        <w:widowControl/>
        <w:jc w:val="left"/>
        <w:rPr>
          <w:highlight w:val="none"/>
          <w:shd w:fill="auto" w:val="clear"/>
        </w:rPr>
      </w:pP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1. продукция была сломана или в ее конструкцию были внесены изменения неофициальными лицами</w:t>
      </w:r>
    </w:p>
    <w:p>
      <w:pPr>
        <w:pStyle w:val="Style15"/>
        <w:widowControl/>
        <w:jc w:val="left"/>
        <w:rPr>
          <w:highlight w:val="none"/>
          <w:shd w:fill="auto" w:val="clear"/>
        </w:rPr>
      </w:pPr>
      <w:r>
        <w:rPr>
          <w:rFonts w:eastAsia="DengXian"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2. продукция была повреждена вследствие неправильного пользования (например, установки элементов питания неправильной полярностью)</w:t>
      </w:r>
    </w:p>
    <w:p>
      <w:pPr>
        <w:pStyle w:val="Style15"/>
        <w:rPr>
          <w:highlight w:val="none"/>
          <w:shd w:fill="auto" w:val="clear"/>
        </w:rPr>
      </w:pPr>
      <w:r>
        <w:rPr>
          <w:rFonts w:eastAsia="DengXian" w:cs="Arial" w:ascii="Arial" w:hAnsi="Arial"/>
          <w:shd w:fill="auto" w:val="clear"/>
          <w:lang w:val="ru-RU"/>
        </w:rPr>
        <w:t>3. продукция повреждена вследствие протечки аккумулятора.</w:t>
      </w:r>
    </w:p>
    <w:p>
      <w:pPr>
        <w:pStyle w:val="Style15"/>
        <w:widowControl/>
        <w:jc w:val="left"/>
        <w:rPr>
          <w:highlight w:val="none"/>
          <w:shd w:fill="auto" w:val="clear"/>
        </w:rPr>
      </w:pP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 последней информацией о продукции и услугах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®, пожалуйста, обращайтесь к местному дистрибьютору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® или пишите на почту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service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@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com</w:t>
      </w:r>
    </w:p>
    <w:p>
      <w:pPr>
        <w:pStyle w:val="Style15"/>
        <w:widowControl/>
        <w:numPr>
          <w:ilvl w:val="0"/>
          <w:numId w:val="6"/>
        </w:numPr>
        <w:jc w:val="left"/>
        <w:rPr>
          <w:highlight w:val="none"/>
          <w:shd w:fill="auto" w:val="clear"/>
        </w:rPr>
      </w:pP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Все изображения, тексты и утверждения, приведенные в рамках данного руководства пользователя, предназначены исключительно в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www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nitecore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cs="Arial" w:ascii="Arial" w:hAnsi="Arial"/>
          <w:kern w:val="0"/>
          <w:sz w:val="20"/>
          <w:szCs w:val="20"/>
          <w:shd w:fill="auto" w:val="clear"/>
          <w14:textOutline w14:w="12700" w14:cap="flat" w14:cmpd="sng" w14:algn="ctr">
            <w14:noFill/>
            <w14:prstDash w14:val="solid"/>
            <w14:miter w14:lim="400000"/>
          </w14:textOutline>
        </w:rPr>
        <w:t>com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компания </w:t>
      </w:r>
      <w:r>
        <w:rPr>
          <w:rFonts w:cs="Arial" w:ascii="Arial" w:hAnsi="Arial"/>
          <w:kern w:val="0"/>
          <w:sz w:val="20"/>
          <w:szCs w:val="20"/>
          <w:shd w:fill="auto" w:val="clear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Sysmax Innovations Co., Ltd. </w:t>
      </w:r>
      <w:r>
        <w:rPr>
          <w:rFonts w:cs="Arial" w:ascii="Arial" w:hAnsi="Arial"/>
          <w:kern w:val="0"/>
          <w:sz w:val="20"/>
          <w:szCs w:val="20"/>
          <w:shd w:fill="auto" w:val="clear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оставляет за собой права интерпретировать и изменять содержание данного документа в любое время без предварительного уведомления.</w:t>
      </w:r>
    </w:p>
    <w:sectPr>
      <w:headerReference w:type="default" r:id="rId11"/>
      <w:footerReference w:type="default" r:id="rId12"/>
      <w:type w:val="nextPage"/>
      <w:pgSz w:w="16838" w:h="23811"/>
      <w:pgMar w:left="1800" w:right="1800" w:gutter="0" w:header="851" w:top="1440" w:footer="992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Helvetica Neue"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01"/>
    <w:family w:val="swiss"/>
    <w:pitch w:val="default"/>
  </w:font>
  <w:font w:name="Arial Unicode MS">
    <w:charset w:val="01"/>
    <w:family w:val="swiss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44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8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3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76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20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64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08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5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96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4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2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4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6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44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8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3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76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20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64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08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5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96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44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8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3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76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20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64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080" w:hanging="440"/>
      </w:pPr>
      <w:rPr>
        <w:rFonts w:ascii="Helvetica" w:hAnsi="Helvetica" w:cs="Helvetica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52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960" w:hanging="44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2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4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60" w:hanging="55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"/>
      <w:lvlJc w:val="left"/>
      <w:pPr>
        <w:tabs>
          <w:tab w:val="num" w:pos="0"/>
        </w:tabs>
        <w:ind w:left="1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"/>
      <w:lvlJc w:val="left"/>
      <w:pPr>
        <w:tabs>
          <w:tab w:val="num" w:pos="0"/>
        </w:tabs>
        <w:ind w:left="7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"/>
      <w:lvlJc w:val="left"/>
      <w:pPr>
        <w:tabs>
          <w:tab w:val="num" w:pos="0"/>
        </w:tabs>
        <w:ind w:left="13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"/>
      <w:lvlJc w:val="left"/>
      <w:pPr>
        <w:tabs>
          <w:tab w:val="num" w:pos="0"/>
        </w:tabs>
        <w:ind w:left="19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"/>
      <w:lvlJc w:val="left"/>
      <w:pPr>
        <w:tabs>
          <w:tab w:val="num" w:pos="0"/>
        </w:tabs>
        <w:ind w:left="25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"/>
      <w:lvlJc w:val="left"/>
      <w:pPr>
        <w:tabs>
          <w:tab w:val="num" w:pos="0"/>
        </w:tabs>
        <w:ind w:left="31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"/>
      <w:lvlJc w:val="left"/>
      <w:pPr>
        <w:tabs>
          <w:tab w:val="num" w:pos="0"/>
        </w:tabs>
        <w:ind w:left="37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"/>
      <w:lvlJc w:val="left"/>
      <w:pPr>
        <w:tabs>
          <w:tab w:val="num" w:pos="0"/>
        </w:tabs>
        <w:ind w:left="43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"/>
      <w:lvlJc w:val="left"/>
      <w:pPr>
        <w:tabs>
          <w:tab w:val="num" w:pos="0"/>
        </w:tabs>
        <w:ind w:left="4958" w:hanging="158"/>
      </w:pPr>
      <w:rPr>
        <w:rFonts w:ascii="Wingdings 2" w:hAnsi="Wingdings 2" w:cs="Wingdings 2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pPr>
      <w:widowControl w:val="false"/>
      <w:pBdr/>
      <w:bidi w:val="0"/>
      <w:spacing w:before="0" w:after="0"/>
      <w:jc w:val="both"/>
    </w:pPr>
    <w:rPr>
      <w:rFonts w:ascii="Calibri" w:hAnsi="Calibri" w:cs="Arial Unicode MS" w:eastAsia="Arial Unicode MS"/>
      <w:color w:val="000000"/>
      <w:kern w:val="2"/>
      <w:sz w:val="21"/>
      <w:szCs w:val="21"/>
      <w:u w:val="none" w:color="000000"/>
      <w:lang w:val="en-US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Колонтитулы"/>
    <w:qFormat/>
    <w:pPr>
      <w:widowControl/>
      <w:pBdr/>
      <w:tabs>
        <w:tab w:val="clear" w:pos="4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firstLine="420"/>
      <w:jc w:val="both"/>
    </w:pPr>
    <w:rPr>
      <w:rFonts w:ascii="Calibri" w:hAnsi="Calibri" w:cs="Arial Unicode MS" w:eastAsia="Arial Unicode MS"/>
      <w:color w:val="000000"/>
      <w:kern w:val="2"/>
      <w:sz w:val="21"/>
      <w:szCs w:val="21"/>
      <w:u w:val="none" w:color="000000"/>
      <w:lang w:val="en-US" w:eastAsia="ru-RU" w:bidi="ar-SA"/>
    </w:rPr>
  </w:style>
  <w:style w:type="paragraph" w:styleId="Style20" w:customStyle="1">
    <w:name w:val="По умолчанию"/>
    <w:qFormat/>
    <w:pPr>
      <w:widowControl/>
      <w:pBdr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</w:style>
  <w:style w:type="numbering" w:styleId="5" w:customStyle="1">
    <w:name w:val="Импортированный стиль 5"/>
    <w:qFormat/>
  </w:style>
  <w:style w:type="numbering" w:styleId="6" w:customStyle="1">
    <w:name w:val="Импортированный стиль 6"/>
    <w:qFormat/>
  </w:style>
  <w:style w:type="numbering" w:styleId="7" w:customStyle="1">
    <w:name w:val="Импортированный стиль 7"/>
    <w:qFormat/>
  </w:style>
  <w:style w:type="numbering" w:styleId="9" w:customStyle="1">
    <w:name w:val="Импортированный стиль 9"/>
    <w:qFormat/>
  </w:style>
  <w:style w:type="numbering" w:styleId="Style24" w:customStyle="1">
    <w:name w:val="Пункты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3</Pages>
  <Words>1678</Words>
  <Characters>10999</Characters>
  <CharactersWithSpaces>12500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2023-08-04T06:08:00Z</dcterms:created>
  <dc:creator>user</dc:creator>
  <dc:description/>
  <dc:language>ru-RU</dc:language>
  <cp:lastModifiedBy/>
  <dcterms:modified xsi:type="dcterms:W3CDTF">2023-08-07T08:55:21Z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