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Руководство пользователя </w:t>
      </w:r>
      <w:r>
        <w:rPr>
          <w:rFonts w:cs="Times New Roman" w:ascii="Times New Roman" w:hAnsi="Times New Roman"/>
          <w:b/>
          <w:bCs/>
        </w:rPr>
        <w:t>P</w:t>
      </w:r>
      <w:r>
        <w:rPr>
          <w:rFonts w:cs="Times New Roman" w:ascii="Times New Roman" w:hAnsi="Times New Roman"/>
          <w:b/>
          <w:bCs/>
          <w:lang w:val="ru-RU"/>
        </w:rPr>
        <w:t>23</w:t>
      </w:r>
      <w:r>
        <w:rPr>
          <w:rFonts w:cs="Times New Roman" w:ascii="Times New Roman" w:hAnsi="Times New Roman"/>
          <w:b/>
          <w:bCs/>
        </w:rPr>
        <w:t>i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  <w:bCs/>
          <w:lang w:val="ru-RU"/>
        </w:rPr>
      </w:pPr>
      <w:r>
        <w:rPr>
          <w:rFonts w:eastAsia="DengXian" w:cs="Times New Roman" w:ascii="Times New Roman" w:hAnsi="Times New Roman"/>
          <w:b/>
          <w:bCs/>
          <w:lang w:val="ru-RU"/>
        </w:rPr>
        <w:t>Об устройстве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Задействует светодиод Luminus SFT-70 с мощностью до 3000 люмен.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Оптическая система в сочетании с кристаллическим покрытием и технологией высокоточной цифровой оптики (PDOT)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Пиковая интенсивность луча достигает 55 300 кд, а максимальная дальность составляет 470 метров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Высокоэффективная схема постоянного тока обеспечивает стабильную работу до 45 часов.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Двойные торцевые переключатели обеспечивают интуитивно понятное управление для тактического применения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Доступны 5 уровней яркости и 1 специальный режим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Технология STROBE READY™ позволяет получить быстрый доступ к режиму Стробоскоп (патент № ZL201320545349.4)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В режиме Стробоскоп применяется случайная периодичность для более головокружительных эффектов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Интеллектуальная схема зарядки литий-ионного аккумулятора с портом USB-C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Литий-ионный аккумулятор NITECORE 21700i идет в комплекте (NL2150HPi 5000 мАч)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Индикатор питания, находящийся рядом с портом зарядки, сообщает оставшийся заряд аккумулятора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Индикатор питания может сообщать напряжение аккумулятора (± 0,1 В)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В противоударном безеле используется высокопрочная керамика на основе нитрида кремния, что обеспечивает надежную защиту стекла от сколов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Встроен модуль расширенного регулирования температуры (ATR) (патент № ZL201510534543.6)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Оптические линзы с двухсторонним покрытием, устойчивым к царапинам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Изготовлен из алюминиевого сплава с твердым анодированием военного класса HAIII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Водонепроницаемость и пыленепроницаемость соответствуют степени защиты IP68 (возможность погружения на глубину до 2 метров)</w:t>
      </w:r>
    </w:p>
    <w:p>
      <w:pPr>
        <w:pStyle w:val="Normal"/>
        <w:rPr>
          <w:rFonts w:ascii="Times New Roman" w:hAnsi="Times New Roman" w:eastAsia="DengXian" w:cs="Times New Roman"/>
          <w:lang w:val="ru-RU"/>
        </w:rPr>
      </w:pPr>
      <w:r>
        <w:rPr>
          <w:rFonts w:eastAsia="DengXian" w:cs="Times New Roman" w:ascii="Times New Roman" w:hAnsi="Times New Roman"/>
          <w:lang w:val="ru-RU"/>
        </w:rPr>
        <w:t>· Ударопрочность при падении с высоты до 2 метров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Размеры и вес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Длина: </w:t>
      </w:r>
      <w:r>
        <w:rPr>
          <w:rFonts w:cs="Times New Roman" w:ascii="Times New Roman" w:hAnsi="Times New Roman"/>
          <w:highlight w:val="yellow"/>
          <w:lang w:val="ru-RU"/>
        </w:rPr>
        <w:t>143.5 мм (5.65")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Диаметр головной части: 31.8 мм (1.25")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Диаметр корпуса: 25.4 мм (1")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Диаметр торцевой части: 28.5 мм (1.12")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Вес: </w:t>
      </w:r>
      <w:r>
        <w:rPr>
          <w:rFonts w:cs="Times New Roman" w:ascii="Times New Roman" w:hAnsi="Times New Roman"/>
          <w:highlight w:val="yellow"/>
          <w:lang w:val="ru-RU"/>
        </w:rPr>
        <w:t>114.5 г (4.04 унции)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Комплектующие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Перезаряжаемый литий-ионный аккумулятор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color w:val="FF0000"/>
          <w:highlight w:val="yellow"/>
          <w:lang w:val="ru-RU"/>
        </w:rPr>
        <w:t>21700</w:t>
      </w:r>
      <w:r>
        <w:rPr>
          <w:rFonts w:cs="Times New Roman" w:ascii="Times New Roman" w:hAnsi="Times New Roman"/>
          <w:color w:val="FF0000"/>
          <w:highlight w:val="yellow"/>
        </w:rPr>
        <w:t>i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NL</w:t>
      </w:r>
      <w:r>
        <w:rPr>
          <w:rFonts w:cs="Times New Roman" w:ascii="Times New Roman" w:hAnsi="Times New Roman"/>
          <w:lang w:val="ru-RU"/>
        </w:rPr>
        <w:t>2150</w:t>
      </w:r>
      <w:r>
        <w:rPr>
          <w:rFonts w:cs="Times New Roman" w:ascii="Times New Roman" w:hAnsi="Times New Roman"/>
        </w:rPr>
        <w:t>HPi</w:t>
      </w:r>
      <w:r>
        <w:rPr>
          <w:rFonts w:cs="Times New Roman" w:ascii="Times New Roman" w:hAnsi="Times New Roman"/>
          <w:lang w:val="ru-RU"/>
        </w:rPr>
        <w:t xml:space="preserve"> 5,000 мАч), чехол, клипса, шнур, запасное уплотнительное кольцо, зарядный кабель USB-C.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Выбор аккумулятора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P23i совместим только с аккумуляторами серии NITECORE 21700 i с выходной мощностью более 15 А.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/>
          <w:lang w:val="ru-RU"/>
        </w:rPr>
        <w:t>Примечание:</w:t>
      </w:r>
      <w:r>
        <w:rPr>
          <w:rFonts w:cs="Times New Roman" w:ascii="Times New Roman" w:hAnsi="Times New Roman"/>
          <w:bCs/>
          <w:lang w:val="ru-RU"/>
        </w:rPr>
        <w:t xml:space="preserve"> P23i НЕ совместим со стандартными аккумуляторами 21700/18650 и CR123/RCR123.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Технические характеристики</w:t>
      </w:r>
    </w:p>
    <w:tbl>
      <w:tblPr>
        <w:tblStyle w:val="21"/>
        <w:tblW w:w="101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3"/>
        <w:gridCol w:w="1339"/>
        <w:gridCol w:w="1338"/>
        <w:gridCol w:w="1200"/>
        <w:gridCol w:w="1181"/>
        <w:gridCol w:w="1731"/>
        <w:gridCol w:w="1606"/>
      </w:tblGrid>
      <w:tr>
        <w:trPr/>
        <w:tc>
          <w:tcPr>
            <w:tcW w:w="17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СТАНДАРТ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FL1 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ТУРБО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ВЫСОКИЙ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СРЕДНИЙ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НИЗКИЙ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СВЕРХНИЗКИЙ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СТРОБОСКОП</w:t>
            </w:r>
          </w:p>
        </w:tc>
      </w:tr>
      <w:tr>
        <w:trPr/>
        <w:tc>
          <w:tcPr>
            <w:tcW w:w="17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323850" cy="194310"/>
                  <wp:effectExtent l="0" t="0" r="0" b="0"/>
                  <wp:docPr id="1" name="图片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 xml:space="preserve">3,000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>люмен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 xml:space="preserve">1,500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>люмен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 xml:space="preserve">800 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>люмен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 xml:space="preserve">250 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>люмен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 xml:space="preserve">50 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>люмен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 xml:space="preserve">3,000 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>люмен</w:t>
            </w:r>
          </w:p>
        </w:tc>
      </w:tr>
      <w:tr>
        <w:trPr/>
        <w:tc>
          <w:tcPr>
            <w:tcW w:w="17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00025" cy="177165"/>
                  <wp:effectExtent l="0" t="0" r="0" b="0"/>
                  <wp:docPr id="2" name="图片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*30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мин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2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ч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 xml:space="preserve"> 30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мин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4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ч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10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ч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45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ч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17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00025" cy="163195"/>
                  <wp:effectExtent l="0" t="0" r="0" b="0"/>
                  <wp:docPr id="3" name="图片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470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м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330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м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244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м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137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м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67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м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17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inline distT="0" distB="0" distL="0" distR="0" wp14:anchorId="302AE9D7">
                      <wp:extent cx="209550" cy="186055"/>
                      <wp:effectExtent l="0" t="0" r="0" b="5080"/>
                      <wp:docPr id="4" name="Фигура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Фигура1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 flipH="1" rot="10800000">
                                <a:off x="0" y="0"/>
                                <a:ext cx="209520" cy="1861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Фигура1" stroked="f" o:allowincell="f" style="position:absolute;margin-left:0pt;margin-top:-15.1pt;width:16.45pt;height:14.6pt;mso-wrap-style:none;v-text-anchor:middle;rotation:180;mso-position-vertical:top" wp14:anchorId="302AE9D7" type="_x0000_t75">
                      <v:imagedata r:id="rId6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55,300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кд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27,960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кд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14,900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кд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4,700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кд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en-US" w:eastAsia="zh-CN" w:bidi="ar-SA"/>
              </w:rPr>
              <w:t>1,130</w:t>
            </w:r>
            <w:r>
              <w:rPr>
                <w:rFonts w:cs="Times New Roman" w:ascii="Times New Roman" w:hAnsi="Times New Roman"/>
                <w:kern w:val="2"/>
                <w:sz w:val="21"/>
                <w:szCs w:val="22"/>
                <w:highlight w:val="yellow"/>
                <w:lang w:val="ru-RU" w:eastAsia="zh-CN" w:bidi="ar-SA"/>
              </w:rPr>
              <w:t xml:space="preserve"> кд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等线" w:cs="Times New Roman" w:eastAsiaTheme="minorHAnsi"/>
              </w:rPr>
            </w:pPr>
            <w:r>
              <w:rPr>
                <w:rFonts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─</w:t>
            </w:r>
          </w:p>
        </w:tc>
      </w:tr>
      <w:tr>
        <w:trPr/>
        <w:tc>
          <w:tcPr>
            <w:tcW w:w="17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00025" cy="178435"/>
                  <wp:effectExtent l="0" t="0" r="0" b="0"/>
                  <wp:docPr id="5" name="图片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м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 xml:space="preserve"> (Ударопрочность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)</w:t>
            </w:r>
          </w:p>
        </w:tc>
      </w:tr>
      <w:tr>
        <w:trPr/>
        <w:tc>
          <w:tcPr>
            <w:tcW w:w="17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等线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0" distR="0">
                  <wp:extent cx="262255" cy="142875"/>
                  <wp:effectExtent l="0" t="0" r="0" b="0"/>
                  <wp:docPr id="6" name="图片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IP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68, 2 м (Водонепроницаемость и погружение в жидкость)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Примечание: приведенные данные были получены в соответствии с международными стандартами испытания фонарей </w:t>
      </w:r>
      <w:r>
        <w:rPr>
          <w:rFonts w:cs="Times New Roman" w:ascii="Times New Roman" w:hAnsi="Times New Roman"/>
        </w:rPr>
        <w:t>ANSI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PLATO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FL</w:t>
      </w:r>
      <w:r>
        <w:rPr>
          <w:rFonts w:cs="Times New Roman" w:ascii="Times New Roman" w:hAnsi="Times New Roman"/>
          <w:lang w:val="ru-RU"/>
        </w:rPr>
        <w:t xml:space="preserve"> 1-2019 с использованием одного литий-ионного аккумулятора 21700i (5,000 мАч) в лабораторных условиях. При эксплуатации данные могут не совпадать из-за использования другого аккумулятора, а также вследствие влияния условий окружающей среды.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* Время работы в режиме ТУРБО протестировано без применения регулирования температуры.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Инструкция по эксплуатации</w:t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3956685</wp:posOffset>
            </wp:positionH>
            <wp:positionV relativeFrom="paragraph">
              <wp:posOffset>32385</wp:posOffset>
            </wp:positionV>
            <wp:extent cx="2832100" cy="2606040"/>
            <wp:effectExtent l="0" t="0" r="0" b="0"/>
            <wp:wrapSquare wrapText="bothSides"/>
            <wp:docPr id="7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ngXian" w:cs="Times New Roman" w:ascii="Times New Roman" w:hAnsi="Times New Roman"/>
          <w:b/>
          <w:lang w:val="ru-RU"/>
        </w:rPr>
        <w:t>Установка / извлечение аккумулятора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Открутите крышку аккумуляторного отсека так, как это показано на иллюстрации, затем вставьте / извлеките аккумулятор и плотно закрутите торцевую крышку.</w:t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 xml:space="preserve">Примечание: </w:t>
      </w:r>
      <w:r>
        <w:rPr>
          <w:rFonts w:eastAsia="DengXian" w:cs="Times New Roman" w:ascii="Times New Roman" w:hAnsi="Times New Roman"/>
          <w:bCs/>
          <w:lang w:val="ru-RU"/>
        </w:rPr>
        <w:t>после установки аккумулятора индикатор питания начнет мигать, сообщая таким образом напряжение аккумулятора. За более подробной информацией обратитесь к разделу «Определение уровня заряда» данного руководства.</w:t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/>
          <w:lang w:val="ru-RU"/>
        </w:rPr>
        <w:t>Меры предосторожности: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1. Убедитесь, что аккумулятор вставлен ​​положительным полюсом к головной части фонаря. Устройство не будет работать, если аккумулятор вставлен ​​неверно.</w:t>
      </w:r>
    </w:p>
    <w:p>
      <w:pPr>
        <w:pStyle w:val="Normal"/>
        <w:rPr>
          <w:rFonts w:ascii="Times New Roman" w:hAnsi="Times New Roman" w:eastAsia="DengXian" w:cs="Times New Roman"/>
          <w:b/>
          <w:b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2.</w:t>
      </w:r>
      <w:r>
        <w:rPr>
          <w:rFonts w:eastAsia="DengXian" w:cs="Times New Roman" w:ascii="Times New Roman" w:hAnsi="Times New Roman"/>
          <w:b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  <w:lang w:val="ru-RU"/>
        </w:rPr>
        <w:t>ВНИМАНИЕ! Возможно опасное излучение! Не направляйте луч фонаря в глаза! Поскольку это может принести им значительный вред.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3. При низком уровне заряда прекратите пользоваться устройством и замените или перезарядите аккумулятор, чтобы предотвратить его повреждение.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4. Если вы планируете переносить устройство в рюкзаке или не пользоваться им в течение длительного времени, пожалуйста, не забудьте извлечь аккумулятор, чтобы предотвратить случайную активацию фонаря или протечку аккумулятора.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>5. НЕ погружайте фонарь в жидкость, если он сильно нагрет. Это может привести к необратимой поломке фонаря вследствие разницы между давлением воздуха внутри и снаружи корпуса.</w:t>
      </w:r>
    </w:p>
    <w:p>
      <w:pPr>
        <w:pStyle w:val="Normal"/>
        <w:rPr>
          <w:rFonts w:ascii="Times New Roman" w:hAnsi="Times New Roman" w:eastAsia="DengXian" w:cs="Times New Roman"/>
          <w:b/>
          <w:b/>
          <w:highlight w:val="yellow"/>
        </w:rPr>
      </w:pPr>
      <w:r>
        <w:rPr>
          <w:rFonts w:eastAsia="DengXian" w:cs="Times New Roman" w:ascii="Times New Roman" w:hAnsi="Times New Roman"/>
          <w:b/>
          <w:highlight w:val="yellow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bookmarkStart w:id="0" w:name="_Hlk519007034"/>
      <w:r>
        <w:drawing>
          <wp:anchor behindDoc="0" distT="0" distB="0" distL="114300" distR="114300" simplePos="0" locked="0" layoutInCell="0" allowOverlap="1" relativeHeight="9">
            <wp:simplePos x="0" y="0"/>
            <wp:positionH relativeFrom="page">
              <wp:posOffset>4057650</wp:posOffset>
            </wp:positionH>
            <wp:positionV relativeFrom="paragraph">
              <wp:posOffset>25400</wp:posOffset>
            </wp:positionV>
            <wp:extent cx="3188335" cy="2600325"/>
            <wp:effectExtent l="0" t="0" r="0" b="0"/>
            <wp:wrapSquare wrapText="bothSides"/>
            <wp:docPr id="8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lang w:val="ru-RU"/>
        </w:rPr>
        <w:t>Функция зарядки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</w:rPr>
        <w:t>P</w:t>
      </w:r>
      <w:r>
        <w:rPr>
          <w:rFonts w:cs="Times New Roman" w:ascii="Times New Roman" w:hAnsi="Times New Roman"/>
          <w:bCs/>
          <w:lang w:val="ru-RU"/>
        </w:rPr>
        <w:t>23</w:t>
      </w:r>
      <w:r>
        <w:rPr>
          <w:rFonts w:cs="Times New Roman" w:ascii="Times New Roman" w:hAnsi="Times New Roman"/>
          <w:bCs/>
        </w:rPr>
        <w:t>i</w:t>
      </w:r>
      <w:r>
        <w:rPr>
          <w:rFonts w:cs="Times New Roman" w:ascii="Times New Roman" w:hAnsi="Times New Roman"/>
          <w:bCs/>
          <w:lang w:val="ru-RU"/>
        </w:rPr>
        <w:t xml:space="preserve"> оснащен интеллектуальной схемой зарядки. После того, как вы установили аккумулятор и закрутили торцевую крышку, для начала зарядки подключите, как это показано на иллюстрации,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 xml:space="preserve">-кабель от порта зарядки к внешнему источнику питания (например,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 xml:space="preserve">-адаптеру или другим устройствам с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>-входом).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Cs/>
          <w:lang w:val="ru-RU"/>
        </w:rPr>
        <w:t>·</w:t>
      </w: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Cs/>
          <w:lang w:val="ru-RU"/>
        </w:rPr>
        <w:t>Во время зарядки индикатор питания начнет медленно мигать, информируя таким образом пользователя.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·</w:t>
      </w: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Cs/>
          <w:lang w:val="ru-RU"/>
        </w:rPr>
        <w:t xml:space="preserve">Когда аккумулятор будет полностью заряжен, </w:t>
      </w:r>
      <w:r>
        <w:rPr>
          <w:rFonts w:cs="Times New Roman" w:ascii="Times New Roman" w:hAnsi="Times New Roman"/>
          <w:bCs/>
        </w:rPr>
        <w:t>P</w:t>
      </w:r>
      <w:r>
        <w:rPr>
          <w:rFonts w:cs="Times New Roman" w:ascii="Times New Roman" w:hAnsi="Times New Roman"/>
          <w:bCs/>
          <w:lang w:val="ru-RU"/>
        </w:rPr>
        <w:t>23</w:t>
      </w:r>
      <w:r>
        <w:rPr>
          <w:rFonts w:cs="Times New Roman" w:ascii="Times New Roman" w:hAnsi="Times New Roman"/>
          <w:bCs/>
        </w:rPr>
        <w:t>i</w:t>
      </w:r>
      <w:r>
        <w:rPr>
          <w:rFonts w:cs="Times New Roman" w:ascii="Times New Roman" w:hAnsi="Times New Roman"/>
          <w:bCs/>
          <w:lang w:val="ru-RU"/>
        </w:rPr>
        <w:t xml:space="preserve"> остановит процесс зарядки, а индикатор питания начнет беспрерывно гореть, сообщая таким образом об этом пользователю.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· При подключении к источнику питания фонарь автоматически выключится. Фонарь автоматически перейдет в режим НИЗКОГО уровня яркости при отключении от источника питания.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·</w:t>
      </w: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Cs/>
          <w:lang w:val="ru-RU"/>
        </w:rPr>
        <w:t>Время зарядки литий-ионного аккумулятора 21700 (5000 мАч) составляет приблизительно 3 часа 50 минут (при зарядке через адаптер 5В/2А).</w:t>
      </w:r>
      <w:bookmarkEnd w:id="0"/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Тактическое мгновенное освещение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Нажмите не до конца на кнопку питания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Cs/>
          <w:lang w:val="ru-RU"/>
        </w:rPr>
        <w:t>и удерживайте ее, чтобы мгновенно включить свет. Отпустите кнопку, чтобы его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Cs/>
          <w:lang w:val="ru-RU"/>
        </w:rPr>
        <w:t>выключить.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Включение / выключение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Включение: когда фонарь выключен, зажмите и удерживайте кнопку питания, пока не услышите щелчок, чтобы его включить.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Выключение: когда фонарь включен, зажмите и удерживайте кнопку питания, пока не услышите щелчок, чтобы его выключить.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Выбор пользовательского режима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</w:rPr>
        <w:t>P</w:t>
      </w:r>
      <w:r>
        <w:rPr>
          <w:rFonts w:cs="Times New Roman" w:ascii="Times New Roman" w:hAnsi="Times New Roman"/>
          <w:bCs/>
          <w:lang w:val="ru-RU"/>
        </w:rPr>
        <w:t>23</w:t>
      </w:r>
      <w:r>
        <w:rPr>
          <w:rFonts w:cs="Times New Roman" w:ascii="Times New Roman" w:hAnsi="Times New Roman"/>
          <w:bCs/>
        </w:rPr>
        <w:t>i</w:t>
      </w:r>
      <w:r>
        <w:rPr>
          <w:rFonts w:cs="Times New Roman" w:ascii="Times New Roman" w:hAnsi="Times New Roman"/>
          <w:bCs/>
          <w:lang w:val="ru-RU"/>
        </w:rPr>
        <w:t xml:space="preserve"> предоставляет доступ к 2 пользовательским режима для разных пользователей и обстоятельств.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· Повседневный режим (настроен по умолчанию): в этом пользовательском режиме доступны 5 уровней яркости [ТУРБО, ВЫСОКИЙ, СРЕДНИЙ, НИЗКИЙ и СВЕРХНИЗКИЙ], а также режим СТРОБОСКОП. </w:t>
      </w:r>
      <w:r>
        <w:rPr>
          <w:rFonts w:cs="Times New Roman" w:ascii="Times New Roman" w:hAnsi="Times New Roman"/>
          <w:bCs/>
        </w:rPr>
        <w:t>P</w:t>
      </w:r>
      <w:r>
        <w:rPr>
          <w:rFonts w:cs="Times New Roman" w:ascii="Times New Roman" w:hAnsi="Times New Roman"/>
          <w:bCs/>
          <w:lang w:val="ru-RU"/>
        </w:rPr>
        <w:t>23</w:t>
      </w:r>
      <w:r>
        <w:rPr>
          <w:rFonts w:cs="Times New Roman" w:ascii="Times New Roman" w:hAnsi="Times New Roman"/>
          <w:bCs/>
        </w:rPr>
        <w:t>i</w:t>
      </w:r>
      <w:r>
        <w:rPr>
          <w:rFonts w:cs="Times New Roman" w:ascii="Times New Roman" w:hAnsi="Times New Roman"/>
          <w:bCs/>
          <w:lang w:val="ru-RU"/>
        </w:rPr>
        <w:t xml:space="preserve"> запомнит установленный при последней активации уровень яркости (за исключением ТУРБО) или режим СТРОБОСКОП и при повторной активации предоставит к нему доступ, в случае если устройство не было переведено в другой пользовательский режим.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· Тактический режим: в этом пользовательском режиме доступны только 4 уровня яркости [ТУРБО, СРЕДНИЙ, НИЗКИЙ и СВЕРХНИЗКИЙ] и режим СТРОБОСКОПА. </w:t>
      </w:r>
      <w:r>
        <w:rPr>
          <w:rFonts w:cs="Times New Roman" w:ascii="Times New Roman" w:hAnsi="Times New Roman"/>
          <w:bCs/>
        </w:rPr>
        <w:t>P</w:t>
      </w:r>
      <w:r>
        <w:rPr>
          <w:rFonts w:cs="Times New Roman" w:ascii="Times New Roman" w:hAnsi="Times New Roman"/>
          <w:bCs/>
          <w:lang w:val="ru-RU"/>
        </w:rPr>
        <w:t>23</w:t>
      </w:r>
      <w:r>
        <w:rPr>
          <w:rFonts w:cs="Times New Roman" w:ascii="Times New Roman" w:hAnsi="Times New Roman"/>
          <w:bCs/>
        </w:rPr>
        <w:t>i</w:t>
      </w:r>
      <w:r>
        <w:rPr>
          <w:rFonts w:cs="Times New Roman" w:ascii="Times New Roman" w:hAnsi="Times New Roman"/>
          <w:bCs/>
          <w:lang w:val="ru-RU"/>
        </w:rPr>
        <w:t xml:space="preserve"> запомнит и при повторной активации предоставит доступ только к режимам ТУРБО и СТРОБОСКОП, так же в случае если устройство не было переведено в другой пользовательский режим.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Чтобы выбрать нужный режим пользователя: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Убедитесь, что торцевая крышка закручена до конца.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2. Зажмите и удерживайте кнопку РЕЖИМА / </w:t>
      </w:r>
      <w:r>
        <w:rPr>
          <w:rFonts w:cs="Times New Roman" w:ascii="Times New Roman" w:hAnsi="Times New Roman"/>
        </w:rPr>
        <w:t>MODE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STROBE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READY</w:t>
      </w:r>
      <w:r>
        <w:rPr>
          <w:rFonts w:cs="Times New Roman" w:ascii="Times New Roman" w:hAnsi="Times New Roman"/>
          <w:lang w:val="ru-RU"/>
        </w:rPr>
        <w:t>™) на торцевой крышке, параллельно ее ослабляя, и фонарь перейдет в режим ТУРБО или режим СТРОБОСКОП.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 Как только торцевая крышка будет ослаблена, основной белый светодиод сообщит вам выбранный пользовательский режим, мигнув один раз при переходе в повседневный режим и дважды при переходе в тактический режим.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4. Отпустите кнопку РЕЖИМА / </w:t>
      </w:r>
      <w:r>
        <w:rPr>
          <w:rFonts w:cs="Times New Roman" w:ascii="Times New Roman" w:hAnsi="Times New Roman"/>
        </w:rPr>
        <w:t>MODE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STROBE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READY</w:t>
      </w:r>
      <w:r>
        <w:rPr>
          <w:rFonts w:cs="Times New Roman" w:ascii="Times New Roman" w:hAnsi="Times New Roman"/>
          <w:lang w:val="ru-RU"/>
        </w:rPr>
        <w:t>™) и затяните заднюю крышку.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Уровни яркости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· </w:t>
      </w:r>
      <w:r>
        <w:rPr>
          <w:rFonts w:cs="Times New Roman" w:ascii="Times New Roman" w:hAnsi="Times New Roman"/>
          <w:b/>
          <w:bCs/>
          <w:lang w:val="ru-RU"/>
        </w:rPr>
        <w:t>Повседневный режим:</w:t>
      </w:r>
      <w:r>
        <w:rPr>
          <w:rFonts w:cs="Times New Roman" w:ascii="Times New Roman" w:hAnsi="Times New Roman"/>
          <w:lang w:val="ru-RU"/>
        </w:rPr>
        <w:t xml:space="preserve"> если фонарь включен, кратковременно нажимайте на кнопку РЕЖИМА / </w:t>
      </w:r>
      <w:r>
        <w:rPr>
          <w:rFonts w:cs="Times New Roman" w:ascii="Times New Roman" w:hAnsi="Times New Roman"/>
        </w:rPr>
        <w:t>MODE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STROBE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READY</w:t>
      </w:r>
      <w:r>
        <w:rPr>
          <w:rFonts w:cs="Times New Roman" w:ascii="Times New Roman" w:hAnsi="Times New Roman"/>
          <w:lang w:val="ru-RU"/>
        </w:rPr>
        <w:t>™), чтобы переключаться между следующими уровнями яркости: СВЕРХНИЗКИЙ – НИЗКИЙ – СРЕДНИЙ – ВЫСОКИЙ.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· </w:t>
      </w:r>
      <w:r>
        <w:rPr>
          <w:rFonts w:cs="Times New Roman" w:ascii="Times New Roman" w:hAnsi="Times New Roman"/>
          <w:b/>
          <w:bCs/>
          <w:lang w:val="ru-RU"/>
        </w:rPr>
        <w:t>Тактический режим:</w:t>
      </w:r>
      <w:r>
        <w:rPr>
          <w:rFonts w:cs="Times New Roman" w:ascii="Times New Roman" w:hAnsi="Times New Roman"/>
          <w:lang w:val="ru-RU"/>
        </w:rPr>
        <w:t xml:space="preserve"> если фонарь включен, кратковременно нажимайте на кнопку РЕЖИМА / </w:t>
      </w:r>
      <w:r>
        <w:rPr>
          <w:rFonts w:cs="Times New Roman" w:ascii="Times New Roman" w:hAnsi="Times New Roman"/>
        </w:rPr>
        <w:t>MODE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STROBE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READY</w:t>
      </w:r>
      <w:r>
        <w:rPr>
          <w:rFonts w:cs="Times New Roman" w:ascii="Times New Roman" w:hAnsi="Times New Roman"/>
          <w:lang w:val="ru-RU"/>
        </w:rPr>
        <w:t>™), чтобы переключаться между следующими уровнями яркости: ТУРБО – СРЕДНИЙ – НИЗКИЙ – СВЕРХНИЗКИЙ.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Быстрый доступ к ТУРБО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Повседневный режим:</w:t>
      </w:r>
      <w:r>
        <w:rPr>
          <w:rFonts w:cs="Times New Roman" w:ascii="Times New Roman" w:hAnsi="Times New Roman"/>
          <w:lang w:val="ru-RU"/>
        </w:rPr>
        <w:t xml:space="preserve"> если фонарь включен, зажмите и удерживайте кнопку РЕЖИМА / </w:t>
      </w:r>
      <w:r>
        <w:rPr>
          <w:rFonts w:cs="Times New Roman" w:ascii="Times New Roman" w:hAnsi="Times New Roman"/>
        </w:rPr>
        <w:t>MODE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STROBE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READY</w:t>
      </w:r>
      <w:r>
        <w:rPr>
          <w:rFonts w:cs="Times New Roman" w:ascii="Times New Roman" w:hAnsi="Times New Roman"/>
          <w:lang w:val="ru-RU"/>
        </w:rPr>
        <w:t>™), чтобы перейти в режим ТУРБО (3000 люмен). Отпустите кнопку, чтобы вернуться к прежнему режиму.</w:t>
      </w:r>
    </w:p>
    <w:p>
      <w:pPr>
        <w:pStyle w:val="Normal"/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DengXian" w:cs="Times New Roman"/>
          <w:b/>
          <w:b/>
        </w:rPr>
      </w:pPr>
      <w:r>
        <w:rPr>
          <w:rFonts w:eastAsia="DengXian" w:cs="Times New Roman" w:ascii="Times New Roman" w:hAnsi="Times New Roman"/>
          <w:b/>
        </w:rPr>
        <w:t>STROBE READY™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· Если фонарь выключен и находится в любом пользовательском режиме, зажмите и удерживайте кнопку РЕЖИМА / </w:t>
      </w:r>
      <w:r>
        <w:rPr>
          <w:rFonts w:eastAsia="DengXian" w:cs="Times New Roman" w:ascii="Times New Roman" w:hAnsi="Times New Roman"/>
          <w:bCs/>
        </w:rPr>
        <w:t>MODE</w:t>
      </w:r>
      <w:r>
        <w:rPr>
          <w:rFonts w:eastAsia="DengXian" w:cs="Times New Roman" w:ascii="Times New Roman" w:hAnsi="Times New Roman"/>
          <w:bCs/>
          <w:lang w:val="ru-RU"/>
        </w:rPr>
        <w:t xml:space="preserve"> (</w:t>
      </w:r>
      <w:r>
        <w:rPr>
          <w:rFonts w:eastAsia="DengXian" w:cs="Times New Roman" w:ascii="Times New Roman" w:hAnsi="Times New Roman"/>
          <w:bCs/>
        </w:rPr>
        <w:t>STROBE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READY</w:t>
      </w:r>
      <w:r>
        <w:rPr>
          <w:rFonts w:eastAsia="DengXian" w:cs="Times New Roman" w:ascii="Times New Roman" w:hAnsi="Times New Roman"/>
          <w:bCs/>
          <w:lang w:val="ru-RU"/>
        </w:rPr>
        <w:t>™), чтобы получить доступ к режиму СТРОБОСКОП. Отпустите кнопку, чтобы выйти из него.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· Если фонарь включен и находится в любом пользовательском режиме, трижды нажмите на кнопку РЕЖИМА / </w:t>
      </w:r>
      <w:r>
        <w:rPr>
          <w:rFonts w:eastAsia="DengXian" w:cs="Times New Roman" w:ascii="Times New Roman" w:hAnsi="Times New Roman"/>
          <w:bCs/>
        </w:rPr>
        <w:t>MODE</w:t>
      </w:r>
      <w:r>
        <w:rPr>
          <w:rFonts w:eastAsia="DengXian" w:cs="Times New Roman" w:ascii="Times New Roman" w:hAnsi="Times New Roman"/>
          <w:bCs/>
          <w:lang w:val="ru-RU"/>
        </w:rPr>
        <w:t xml:space="preserve"> (</w:t>
      </w:r>
      <w:r>
        <w:rPr>
          <w:rFonts w:eastAsia="DengXian" w:cs="Times New Roman" w:ascii="Times New Roman" w:hAnsi="Times New Roman"/>
          <w:bCs/>
        </w:rPr>
        <w:t>STROBE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READY</w:t>
      </w:r>
      <w:r>
        <w:rPr>
          <w:rFonts w:eastAsia="DengXian" w:cs="Times New Roman" w:ascii="Times New Roman" w:hAnsi="Times New Roman"/>
          <w:bCs/>
          <w:lang w:val="ru-RU"/>
        </w:rPr>
        <w:t xml:space="preserve">™), чтобы перейти в режим СТРОБОСКОП. Кратковременно нажмите на кнопку РЕЖИМА / </w:t>
      </w:r>
      <w:r>
        <w:rPr>
          <w:rFonts w:eastAsia="DengXian" w:cs="Times New Roman" w:ascii="Times New Roman" w:hAnsi="Times New Roman"/>
          <w:bCs/>
        </w:rPr>
        <w:t>MODE</w:t>
      </w:r>
      <w:r>
        <w:rPr>
          <w:rFonts w:eastAsia="DengXian" w:cs="Times New Roman" w:ascii="Times New Roman" w:hAnsi="Times New Roman"/>
          <w:bCs/>
          <w:lang w:val="ru-RU"/>
        </w:rPr>
        <w:t xml:space="preserve"> (</w:t>
      </w:r>
      <w:r>
        <w:rPr>
          <w:rFonts w:eastAsia="DengXian" w:cs="Times New Roman" w:ascii="Times New Roman" w:hAnsi="Times New Roman"/>
          <w:bCs/>
        </w:rPr>
        <w:t>STROBE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READY</w:t>
      </w:r>
      <w:r>
        <w:rPr>
          <w:rFonts w:eastAsia="DengXian" w:cs="Times New Roman" w:ascii="Times New Roman" w:hAnsi="Times New Roman"/>
          <w:bCs/>
          <w:lang w:val="ru-RU"/>
        </w:rPr>
        <w:t>™), чтобы вернуться к прежнему состоянию, или нажмите на кнопку питания, чтобы выключить фонарь. (В этом случае устройство запомнит режим СТРОБОСКОП.)</w:t>
      </w:r>
    </w:p>
    <w:p>
      <w:pPr>
        <w:pStyle w:val="Normal"/>
        <w:rPr>
          <w:rFonts w:ascii="Times New Roman" w:hAnsi="Times New Roman" w:eastAsia="DengXian" w:cs="Times New Roman"/>
          <w:bCs/>
          <w:lang w:val="ru-RU"/>
        </w:rPr>
      </w:pPr>
      <w:r>
        <w:rPr>
          <w:rFonts w:eastAsia="DengXian" w:cs="Times New Roman" w:ascii="Times New Roman" w:hAnsi="Times New Roman"/>
          <w:bCs/>
          <w:lang w:val="ru-RU"/>
        </w:rPr>
        <w:t xml:space="preserve">· </w:t>
      </w:r>
      <w:r>
        <w:rPr>
          <w:rFonts w:eastAsia="DengXian" w:cs="Times New Roman" w:ascii="Times New Roman" w:hAnsi="Times New Roman"/>
          <w:b/>
          <w:lang w:val="ru-RU"/>
        </w:rPr>
        <w:t>Тактический режим:</w:t>
      </w:r>
      <w:r>
        <w:rPr>
          <w:rFonts w:eastAsia="DengXian" w:cs="Times New Roman" w:ascii="Times New Roman" w:hAnsi="Times New Roman"/>
          <w:bCs/>
          <w:lang w:val="ru-RU"/>
        </w:rPr>
        <w:t xml:space="preserve"> если фонарь включен, зажмите и удерживайте кнопку РЕЖИМА / </w:t>
      </w:r>
      <w:r>
        <w:rPr>
          <w:rFonts w:eastAsia="DengXian" w:cs="Times New Roman" w:ascii="Times New Roman" w:hAnsi="Times New Roman"/>
          <w:bCs/>
        </w:rPr>
        <w:t>MODE</w:t>
      </w:r>
      <w:r>
        <w:rPr>
          <w:rFonts w:eastAsia="DengXian" w:cs="Times New Roman" w:ascii="Times New Roman" w:hAnsi="Times New Roman"/>
          <w:bCs/>
          <w:lang w:val="ru-RU"/>
        </w:rPr>
        <w:t xml:space="preserve"> (</w:t>
      </w:r>
      <w:r>
        <w:rPr>
          <w:rFonts w:eastAsia="DengXian" w:cs="Times New Roman" w:ascii="Times New Roman" w:hAnsi="Times New Roman"/>
          <w:bCs/>
        </w:rPr>
        <w:t>STROBE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READY</w:t>
      </w:r>
      <w:r>
        <w:rPr>
          <w:rFonts w:eastAsia="DengXian" w:cs="Times New Roman" w:ascii="Times New Roman" w:hAnsi="Times New Roman"/>
          <w:bCs/>
          <w:lang w:val="ru-RU"/>
        </w:rPr>
        <w:t>™), чтобы перейти в режим СТРОБОСКОП. Кратковременно нажмите на кнопку</w:t>
      </w:r>
      <w:r>
        <w:rPr>
          <w:rFonts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  <w:lang w:val="ru-RU"/>
        </w:rPr>
        <w:t xml:space="preserve">РЕЖИМА / </w:t>
      </w:r>
      <w:r>
        <w:rPr>
          <w:rFonts w:eastAsia="DengXian" w:cs="Times New Roman" w:ascii="Times New Roman" w:hAnsi="Times New Roman"/>
          <w:bCs/>
        </w:rPr>
        <w:t>MODE</w:t>
      </w:r>
      <w:r>
        <w:rPr>
          <w:rFonts w:eastAsia="DengXian" w:cs="Times New Roman" w:ascii="Times New Roman" w:hAnsi="Times New Roman"/>
          <w:bCs/>
          <w:lang w:val="ru-RU"/>
        </w:rPr>
        <w:t xml:space="preserve"> (</w:t>
      </w:r>
      <w:r>
        <w:rPr>
          <w:rFonts w:eastAsia="DengXian" w:cs="Times New Roman" w:ascii="Times New Roman" w:hAnsi="Times New Roman"/>
          <w:bCs/>
        </w:rPr>
        <w:t>STROBE</w:t>
      </w:r>
      <w:r>
        <w:rPr>
          <w:rFonts w:eastAsia="DengXian" w:cs="Times New Roman" w:ascii="Times New Roman" w:hAnsi="Times New Roman"/>
          <w:bCs/>
          <w:lang w:val="ru-RU"/>
        </w:rPr>
        <w:t xml:space="preserve"> </w:t>
      </w:r>
      <w:r>
        <w:rPr>
          <w:rFonts w:eastAsia="DengXian" w:cs="Times New Roman" w:ascii="Times New Roman" w:hAnsi="Times New Roman"/>
          <w:bCs/>
        </w:rPr>
        <w:t>READY</w:t>
      </w:r>
      <w:r>
        <w:rPr>
          <w:rFonts w:eastAsia="DengXian" w:cs="Times New Roman" w:ascii="Times New Roman" w:hAnsi="Times New Roman"/>
          <w:bCs/>
          <w:lang w:val="ru-RU"/>
        </w:rPr>
        <w:t>™), чтобы вернуться к прежнему состоянию, или нажмите на кнопку питания, чтобы выключить фонарь. (Этот доступ не запомнит режим СТРОБОСКОП.)</w:t>
      </w:r>
    </w:p>
    <w:p>
      <w:pPr>
        <w:pStyle w:val="Normal"/>
        <w:rPr>
          <w:rFonts w:ascii="Times New Roman" w:hAnsi="Times New Roman" w:eastAsia="DengXian" w:cs="Times New Roman"/>
        </w:rPr>
      </w:pPr>
      <w:r>
        <w:rPr>
          <w:rFonts w:eastAsia="DengXian"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Определение уровня заряда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· При установке аккумулятора, а также при отключении фонаря от источника питания во время зарядки, индикатор питания начнет мигать, сообщая таким образом напряжение аккумулятора (±0,1 В). Например, при напряжении аккумулятора в 4,2 В индикатор питания мигнет 4 раза, после чего последует 1,5-секундная пауза и еще 2 мигания. Различные значения напряжения сообщают соответствующие значения оставшегося уровня заряда аккумулятора:</w:t>
      </w:r>
    </w:p>
    <w:p>
      <w:pPr>
        <w:pStyle w:val="Normal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5996305" cy="1143000"/>
            <wp:effectExtent l="0" t="0" r="0" b="0"/>
            <wp:docPr id="9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· При включенном фонаре индикатор питания сообщает оставшийся заряд аккумулятора.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Беспрерывное горение указывает на то, что уровень заряда выше 50%.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Медленное мигание указывает на то, что уровень заряда ниже 50%.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 Быстрое мигание указывает на то, что уровень заряда ниже 10%.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Примечание:</w:t>
      </w:r>
      <w:r>
        <w:rPr>
          <w:rFonts w:cs="Times New Roman" w:ascii="Times New Roman" w:hAnsi="Times New Roman"/>
          <w:lang w:val="ru-RU"/>
        </w:rPr>
        <w:t xml:space="preserve"> аккумулятор следует заменить или перезарядить, если свет фонаря кажется тусклым или же устройство перестает реагировать на команды вследствие низкого заряда.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</w:rPr>
        <w:t>ATR</w:t>
      </w:r>
      <w:r>
        <w:rPr>
          <w:rFonts w:cs="Times New Roman" w:ascii="Times New Roman" w:hAnsi="Times New Roman"/>
          <w:b/>
          <w:bCs/>
          <w:lang w:val="ru-RU"/>
        </w:rPr>
        <w:t xml:space="preserve"> (Расширенное регулирование температуры)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Встроенная технология </w:t>
      </w:r>
      <w:r>
        <w:rPr>
          <w:rFonts w:cs="Times New Roman" w:ascii="Times New Roman" w:hAnsi="Times New Roman"/>
        </w:rPr>
        <w:t>ATR</w:t>
      </w:r>
      <w:r>
        <w:rPr>
          <w:rFonts w:cs="Times New Roman" w:ascii="Times New Roman" w:hAnsi="Times New Roman"/>
          <w:lang w:val="ru-RU"/>
        </w:rPr>
        <w:t xml:space="preserve"> регулирует выходную мощность </w:t>
      </w: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  <w:lang w:val="ru-RU"/>
        </w:rPr>
        <w:t>23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  <w:lang w:val="ru-RU"/>
        </w:rPr>
        <w:t xml:space="preserve"> в соответствии с условиями эксплуатации и окружающей среды для поддержания оптимальной производительности.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Обслуживание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Каждые 6 месяцев резьбу следует протирать чистой тканью с последующим нанесением тонкого слоя смазки на силиконовой основе.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Меры предосторожности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ВНИМАНИЕ! Возможно опасное излучение! Не направляйте луч фонаря в глаза! Поскольку это может принести им значительный вред.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Пожалуйста, не забывайте перезаряжать устройство каждые 3 месяца, если планируете им не пользоваться в течение длительного времени.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 Утилизируйте устройство / аккумуляторы в соответствии с действующим местным законодательством и общепринятыми правилами.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Гарантийное обслуживание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На всю продукцию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® распространяется гарантия. При наличии у продукта каких-либо дефектов или брака его можно обменять у местного дистрибьютора в течение 15 дней со дня покупки. После этого всю неисправную продукцию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>® можно бесплатно починить в течение 60 месяцев со дня покупки. По прошествии 60 месяцев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Гарантия аннулируется, в случае если: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продукция была сломана и / или в ее конструкцию были внесены изменения неуполномоченными на то (т.е. неавторизованными) лицами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продукция была повреждена вследствие неправильного использования (например, в результате неправильной установки аккумуляторов)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 продукция была повреждена в результате протечки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За последней информацией о продукции и услугах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®, пожалуйста, обращайтесь к местному дистрибьютору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® или пишите на почту </w:t>
      </w:r>
      <w:r>
        <w:rPr>
          <w:rFonts w:cs="Times New Roman" w:ascii="Times New Roman" w:hAnsi="Times New Roman"/>
        </w:rPr>
        <w:t>service</w:t>
      </w:r>
      <w:r>
        <w:rPr>
          <w:rFonts w:cs="Times New Roman" w:ascii="Times New Roman" w:hAnsi="Times New Roman"/>
          <w:lang w:val="ru-RU"/>
        </w:rPr>
        <w:t>@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>.</w:t>
      </w:r>
      <w:r>
        <w:rPr>
          <w:rFonts w:cs="Times New Roman" w:ascii="Times New Roman" w:hAnsi="Times New Roman"/>
        </w:rPr>
        <w:t>com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※ </w:t>
      </w:r>
      <w:r>
        <w:rPr>
          <w:rFonts w:cs="Times New Roman" w:ascii="Times New Roman" w:hAnsi="Times New Roman"/>
          <w:lang w:val="ru-RU"/>
        </w:rPr>
        <w:t xml:space="preserve">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cs="Times New Roman" w:ascii="Times New Roman" w:hAnsi="Times New Roman"/>
        </w:rPr>
        <w:t>www</w:t>
      </w:r>
      <w:r>
        <w:rPr>
          <w:rFonts w:cs="Times New Roman" w:ascii="Times New Roman" w:hAnsi="Times New Roman"/>
          <w:lang w:val="ru-RU"/>
        </w:rPr>
        <w:t>.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>.</w:t>
      </w:r>
      <w:r>
        <w:rPr>
          <w:rFonts w:cs="Times New Roman" w:ascii="Times New Roman" w:hAnsi="Times New Roman"/>
        </w:rPr>
        <w:t>com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Sysmax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Innovations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Co</w:t>
      </w:r>
      <w:r>
        <w:rPr>
          <w:rFonts w:cs="Times New Roman" w:ascii="Times New Roman" w:hAnsi="Times New Roman"/>
          <w:lang w:val="ru-RU"/>
        </w:rPr>
        <w:t xml:space="preserve">., </w:t>
      </w:r>
      <w:r>
        <w:rPr>
          <w:rFonts w:cs="Times New Roman" w:ascii="Times New Roman" w:hAnsi="Times New Roman"/>
        </w:rPr>
        <w:t>Ltd</w:t>
      </w:r>
      <w:r>
        <w:rPr>
          <w:rFonts w:cs="Times New Roman" w:ascii="Times New Roman" w:hAnsi="Times New Roman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33906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33906"/>
    <w:rPr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004b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8004b3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8004b3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8004b3"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23a12"/>
    <w:pPr>
      <w:ind w:firstLine="420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a33906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6">
    <w:name w:val="Footer"/>
    <w:basedOn w:val="Normal"/>
    <w:link w:val="Style15"/>
    <w:uiPriority w:val="99"/>
    <w:unhideWhenUsed/>
    <w:rsid w:val="00a33906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8004b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8004b3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8004b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dc5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4">
    <w:name w:val="Table Grid"/>
    <w:basedOn w:val="a1"/>
    <w:uiPriority w:val="39"/>
    <w:rsid w:val="00dc5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LibreOffice/7.3.2.2$Windows_X86_64 LibreOffice_project/49f2b1bff42cfccbd8f788c8dc32c1c309559be0</Application>
  <AppVersion>15.0000</AppVersion>
  <Pages>6</Pages>
  <Words>1563</Words>
  <Characters>10101</Characters>
  <CharactersWithSpaces>11547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2022-11-08T10:46:00Z</dcterms:created>
  <dc:creator>尤 加宜</dc:creator>
  <dc:description/>
  <dc:language>ru-RU</dc:language>
  <cp:lastModifiedBy>Эрнест Гейвандов</cp:lastModifiedBy>
  <dcterms:modified xsi:type="dcterms:W3CDTF">2022-11-15T00:22:00Z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